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5D0C">
      <w:pPr>
        <w:spacing w:line="56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bookmarkStart w:id="0" w:name="_Hlk149094279"/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分布式电源聚合商与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代理项目委托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协议</w:t>
      </w:r>
      <w:bookmarkEnd w:id="0"/>
    </w:p>
    <w:p w14:paraId="0DA71DEC">
      <w:pPr>
        <w:spacing w:line="560" w:lineRule="exact"/>
        <w:ind w:firstLine="560" w:firstLineChars="200"/>
        <w:jc w:val="center"/>
        <w:rPr>
          <w:rFonts w:ascii="宋体" w:hAnsi="宋体" w:eastAsia="宋体" w:cs="仿宋"/>
          <w:sz w:val="28"/>
          <w:szCs w:val="28"/>
        </w:rPr>
      </w:pPr>
    </w:p>
    <w:p w14:paraId="30088E09">
      <w:pPr>
        <w:spacing w:line="560" w:lineRule="exact"/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甲方（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代理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用户）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bookmarkStart w:id="1" w:name="_Hlk150428554"/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bookmarkEnd w:id="1"/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</w:t>
      </w:r>
    </w:p>
    <w:p w14:paraId="5711F29E">
      <w:pPr>
        <w:spacing w:line="560" w:lineRule="exact"/>
        <w:ind w:firstLine="2800" w:firstLineChars="1000"/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户号：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</w:p>
    <w:p w14:paraId="7547D4B8">
      <w:pPr>
        <w:spacing w:line="560" w:lineRule="exact"/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乙方（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分布式电源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聚合商）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</w:t>
      </w:r>
    </w:p>
    <w:p w14:paraId="23D2385B">
      <w:pPr>
        <w:spacing w:line="560" w:lineRule="exact"/>
        <w:ind w:firstLine="2800" w:firstLineChars="10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ID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</w:p>
    <w:p w14:paraId="618FD0C7"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甲乙双方根据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《上海市新能源增量项目机制电价竞价工作方案》（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以下简称“竞价方案”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相关工作要求，在平等、自愿的原则下，经过充分友好协商，就参与新能源增量项目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机制电价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竞价工作取得了一致意见，特签定本协议。</w:t>
      </w:r>
    </w:p>
    <w:p w14:paraId="4A6038C1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甲乙双方已知悉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竞价方案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75285DEC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双方的权利和义务</w:t>
      </w:r>
    </w:p>
    <w:p w14:paraId="1C60BFC8">
      <w:pPr>
        <w:pStyle w:val="15"/>
        <w:numPr>
          <w:ilvl w:val="0"/>
          <w:numId w:val="2"/>
        </w:numPr>
        <w:spacing w:line="560" w:lineRule="exact"/>
        <w:ind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甲方的权利与义务</w:t>
      </w:r>
    </w:p>
    <w:p w14:paraId="365846E8">
      <w:pPr>
        <w:numPr>
          <w:ilvl w:val="0"/>
          <w:numId w:val="3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甲方委托乙方代为办理增量项目机制电价竞价各项业务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包括竞价材料提交、竞价申报等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 w14:paraId="297F7BE7">
      <w:pPr>
        <w:numPr>
          <w:ilvl w:val="0"/>
          <w:numId w:val="3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甲方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授权乙方向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国网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上海市电力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提供增量项目相关信息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获得甲方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已投产项目、未投产项目（在建、计划建设）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等相关信息；</w:t>
      </w:r>
    </w:p>
    <w:p w14:paraId="7D7F8101">
      <w:pPr>
        <w:numPr>
          <w:ilvl w:val="0"/>
          <w:numId w:val="3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甲方任一分布式新能源项目，仅可由唯一乙方作为竞价代理机构；</w:t>
      </w:r>
    </w:p>
    <w:p w14:paraId="066D6DA0">
      <w:pPr>
        <w:pStyle w:val="15"/>
        <w:numPr>
          <w:ilvl w:val="0"/>
          <w:numId w:val="2"/>
        </w:numPr>
        <w:spacing w:line="560" w:lineRule="exact"/>
        <w:ind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乙方的权利与义务</w:t>
      </w:r>
    </w:p>
    <w:p w14:paraId="7342750C"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乙方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按照竞价方案要求，及时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将甲方提供的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增量项目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相关信息上传至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竞价平台，代理甲方参与机制电价竞价工作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 w14:paraId="7C613ECB"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乙方应当符合竞价方案中明确的基本资质和能力要求，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为甲方提供相关服务；</w:t>
      </w:r>
    </w:p>
    <w:p w14:paraId="4F63B594"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乙方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代理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甲方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的分布式项目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最早与最晚投产时间间隔不得超过1年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</w:p>
    <w:p w14:paraId="23C41C67">
      <w:pPr>
        <w:numPr>
          <w:ilvl w:val="0"/>
          <w:numId w:val="4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乙方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代理参与竞价的代理服务费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等相关收益费用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由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乙方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甲方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自行约定结算。</w:t>
      </w:r>
    </w:p>
    <w:p w14:paraId="744B9A04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2" w:name="_Hlk150434419"/>
      <w:r>
        <w:rPr>
          <w:rFonts w:hint="eastAsia" w:ascii="方正仿宋_GBK" w:hAnsi="方正仿宋_GBK" w:eastAsia="方正仿宋_GBK" w:cs="方正仿宋_GBK"/>
          <w:sz w:val="28"/>
          <w:szCs w:val="28"/>
        </w:rPr>
        <w:t>数据与隐私管理</w:t>
      </w:r>
      <w:bookmarkStart w:id="3" w:name="_GoBack"/>
      <w:bookmarkEnd w:id="3"/>
    </w:p>
    <w:p w14:paraId="2BC60152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甲方可通过乙方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聚合商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平台查询自身数据，但不得获取其他用户信息。</w:t>
      </w:r>
    </w:p>
    <w:p w14:paraId="24B9041A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违约责任</w:t>
      </w:r>
    </w:p>
    <w:p w14:paraId="5B90705D">
      <w:pPr>
        <w:numPr>
          <w:ilvl w:val="0"/>
          <w:numId w:val="5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因甲方数据造假或违规操作导致的损失，由甲方赔偿乙方直接经济损失。</w:t>
      </w:r>
    </w:p>
    <w:p w14:paraId="23C0247D">
      <w:pPr>
        <w:numPr>
          <w:ilvl w:val="0"/>
          <w:numId w:val="5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因乙方数据造假或违规操作导致的损失，甲方有权暂停其代理资格，并追究赔偿责任；</w:t>
      </w:r>
    </w:p>
    <w:p w14:paraId="60A75007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争议解决</w:t>
      </w:r>
    </w:p>
    <w:p w14:paraId="216185EF">
      <w:pPr>
        <w:numPr>
          <w:ilvl w:val="0"/>
          <w:numId w:val="6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乙方作为法定竞价主体，发生争议时甲方应首先与乙方协商处置。</w:t>
      </w:r>
    </w:p>
    <w:p w14:paraId="69EC7E41">
      <w:pPr>
        <w:numPr>
          <w:ilvl w:val="0"/>
          <w:numId w:val="6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经协商无法达成一致的，提交上海市竞价专项工作小组进行仲裁。</w:t>
      </w:r>
    </w:p>
    <w:bookmarkEnd w:id="2"/>
    <w:p w14:paraId="74838390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协议期限</w:t>
      </w:r>
    </w:p>
    <w:p w14:paraId="670D970C">
      <w:pPr>
        <w:numPr>
          <w:ilvl w:val="0"/>
          <w:numId w:val="7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本协议自双方签字盖章之日起生效，有效期至当年竞价结果公布之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。若因竞价未入选等原因，需顺延协议期限，继续委托代理的,甲乙双方可重新签订协议，或者在本协议特别约定中予以说明。</w:t>
      </w:r>
    </w:p>
    <w:p w14:paraId="3839F2BF">
      <w:pPr>
        <w:numPr>
          <w:ilvl w:val="0"/>
          <w:numId w:val="7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本协议一式叁份，由双方签订盖章后生效，甲乙双方各执一份，国网上海市电力公司备案一份，具有同等法律效力。</w:t>
      </w:r>
    </w:p>
    <w:p w14:paraId="0D49D07A"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七、特别约定</w:t>
      </w:r>
    </w:p>
    <w:p w14:paraId="635703A1"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本特别约定是合作协议各方经协商后对协议其他条款的修改或补充，如有不一致，以特别约定为准。</w:t>
      </w:r>
    </w:p>
    <w:p w14:paraId="14570C3C"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</w:rPr>
        <w:t>。</w:t>
      </w:r>
    </w:p>
    <w:p w14:paraId="64480084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</w:p>
    <w:p w14:paraId="460AFC85">
      <w:pPr>
        <w:pStyle w:val="4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签署页</w:t>
      </w:r>
    </w:p>
    <w:p w14:paraId="24CAFB46">
      <w:pPr>
        <w:pStyle w:val="4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</w:p>
    <w:tbl>
      <w:tblPr>
        <w:tblStyle w:val="10"/>
        <w:tblW w:w="9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1944"/>
        <w:gridCol w:w="2630"/>
        <w:gridCol w:w="2630"/>
      </w:tblGrid>
      <w:tr w14:paraId="5D0E3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2ABBE068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甲方：</w:t>
            </w:r>
          </w:p>
        </w:tc>
        <w:tc>
          <w:tcPr>
            <w:tcW w:w="1944" w:type="dxa"/>
          </w:tcPr>
          <w:p w14:paraId="4831E852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72C4FCFD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乙方：</w:t>
            </w:r>
          </w:p>
        </w:tc>
        <w:tc>
          <w:tcPr>
            <w:tcW w:w="2630" w:type="dxa"/>
          </w:tcPr>
          <w:p w14:paraId="7316CB80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  <w:tr w14:paraId="10BA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577B40B9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（盖章）</w:t>
            </w:r>
          </w:p>
        </w:tc>
        <w:tc>
          <w:tcPr>
            <w:tcW w:w="1944" w:type="dxa"/>
          </w:tcPr>
          <w:p w14:paraId="12B1C9A2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1ED036C0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（盖章）</w:t>
            </w:r>
          </w:p>
        </w:tc>
        <w:tc>
          <w:tcPr>
            <w:tcW w:w="2630" w:type="dxa"/>
          </w:tcPr>
          <w:p w14:paraId="491FA578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  <w:tr w14:paraId="00CA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63DE199D">
            <w:pPr>
              <w:spacing w:line="560" w:lineRule="exact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法定代表人或授权代表（签字）：</w:t>
            </w:r>
          </w:p>
        </w:tc>
        <w:tc>
          <w:tcPr>
            <w:tcW w:w="1944" w:type="dxa"/>
          </w:tcPr>
          <w:p w14:paraId="10DCBBEB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4C410161">
            <w:pPr>
              <w:spacing w:line="560" w:lineRule="exact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法定代表人或授权代表（签字）</w:t>
            </w:r>
          </w:p>
        </w:tc>
        <w:tc>
          <w:tcPr>
            <w:tcW w:w="2630" w:type="dxa"/>
          </w:tcPr>
          <w:p w14:paraId="27E2B1D4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  <w:tr w14:paraId="1470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6B22548D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签订日期：</w:t>
            </w:r>
          </w:p>
        </w:tc>
        <w:tc>
          <w:tcPr>
            <w:tcW w:w="1944" w:type="dxa"/>
          </w:tcPr>
          <w:p w14:paraId="5F81FAB7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4EB97EDF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签订日期：</w:t>
            </w:r>
          </w:p>
        </w:tc>
        <w:tc>
          <w:tcPr>
            <w:tcW w:w="2630" w:type="dxa"/>
          </w:tcPr>
          <w:p w14:paraId="093975FE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  <w:tr w14:paraId="1493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1E2CB50B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联系人：</w:t>
            </w:r>
          </w:p>
        </w:tc>
        <w:tc>
          <w:tcPr>
            <w:tcW w:w="1944" w:type="dxa"/>
          </w:tcPr>
          <w:p w14:paraId="43645101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F6CC8F3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联系人：</w:t>
            </w:r>
          </w:p>
        </w:tc>
        <w:tc>
          <w:tcPr>
            <w:tcW w:w="2630" w:type="dxa"/>
          </w:tcPr>
          <w:p w14:paraId="421C52C4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  <w:tr w14:paraId="7A26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0F5F09A8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联系电话：</w:t>
            </w:r>
          </w:p>
        </w:tc>
        <w:tc>
          <w:tcPr>
            <w:tcW w:w="1944" w:type="dxa"/>
          </w:tcPr>
          <w:p w14:paraId="2BA5D6DB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5AC0B13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联系电话：</w:t>
            </w:r>
          </w:p>
        </w:tc>
        <w:tc>
          <w:tcPr>
            <w:tcW w:w="2630" w:type="dxa"/>
          </w:tcPr>
          <w:p w14:paraId="4F55F213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  <w:tr w14:paraId="43C2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3" w:type="dxa"/>
          </w:tcPr>
          <w:p w14:paraId="69CB7F5C">
            <w:pPr>
              <w:spacing w:line="560" w:lineRule="exact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 xml:space="preserve">统一社会信用代码： </w:t>
            </w:r>
          </w:p>
          <w:p w14:paraId="7E1259D4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1944" w:type="dxa"/>
          </w:tcPr>
          <w:p w14:paraId="6D1F1F81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DC4C3CD">
            <w:pPr>
              <w:spacing w:line="560" w:lineRule="exact"/>
              <w:rPr>
                <w:rFonts w:ascii="宋体" w:hAnsi="宋体" w:eastAsia="宋体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sz w:val="28"/>
                <w:szCs w:val="28"/>
              </w:rPr>
              <w:t>统一社会信用代码：</w:t>
            </w:r>
          </w:p>
        </w:tc>
        <w:tc>
          <w:tcPr>
            <w:tcW w:w="2630" w:type="dxa"/>
          </w:tcPr>
          <w:p w14:paraId="49B3423C">
            <w:pPr>
              <w:spacing w:line="560" w:lineRule="exact"/>
              <w:ind w:firstLine="560" w:firstLineChars="200"/>
              <w:rPr>
                <w:rFonts w:ascii="宋体" w:hAnsi="宋体" w:eastAsia="宋体" w:cs="方正仿宋_GBK"/>
                <w:sz w:val="28"/>
                <w:szCs w:val="28"/>
              </w:rPr>
            </w:pPr>
          </w:p>
        </w:tc>
      </w:tr>
    </w:tbl>
    <w:p w14:paraId="6E56DC4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A39F79-D1F1-43CB-91EA-3ABD268503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CAC20A-0E3C-4DCA-9400-FF6AF5EDA2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A9DC64-2EAB-4EE8-B392-C808F42EB2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C4E90D0-BD3A-4A77-BEDD-BC5C056430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E99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A035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A035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4FE30"/>
    <w:multiLevelType w:val="singleLevel"/>
    <w:tmpl w:val="9B34FE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0A532D"/>
    <w:multiLevelType w:val="singleLevel"/>
    <w:tmpl w:val="CD0A53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1FCCA6"/>
    <w:multiLevelType w:val="singleLevel"/>
    <w:tmpl w:val="F71FC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FF9EE3"/>
    <w:multiLevelType w:val="singleLevel"/>
    <w:tmpl w:val="1AFF9E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EB1CA6"/>
    <w:multiLevelType w:val="singleLevel"/>
    <w:tmpl w:val="29EB1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76476A7"/>
    <w:multiLevelType w:val="multilevel"/>
    <w:tmpl w:val="776476A7"/>
    <w:lvl w:ilvl="0" w:tentative="0">
      <w:start w:val="1"/>
      <w:numFmt w:val="chineseCountingThousand"/>
      <w:lvlText w:val="(%1)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6">
    <w:nsid w:val="7AE24571"/>
    <w:multiLevelType w:val="singleLevel"/>
    <w:tmpl w:val="7AE24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YTJhM2U4MWY4YjgxNmRjMjRhNzYzNzhhMGM5NzUifQ=="/>
  </w:docVars>
  <w:rsids>
    <w:rsidRoot w:val="000455F2"/>
    <w:rsid w:val="00037366"/>
    <w:rsid w:val="000455F2"/>
    <w:rsid w:val="00047341"/>
    <w:rsid w:val="00135739"/>
    <w:rsid w:val="00192D25"/>
    <w:rsid w:val="001F73E5"/>
    <w:rsid w:val="00253FE6"/>
    <w:rsid w:val="00255632"/>
    <w:rsid w:val="0033425B"/>
    <w:rsid w:val="00355AAE"/>
    <w:rsid w:val="00380735"/>
    <w:rsid w:val="00393EFF"/>
    <w:rsid w:val="00395C3B"/>
    <w:rsid w:val="0040361A"/>
    <w:rsid w:val="0044619C"/>
    <w:rsid w:val="0047564D"/>
    <w:rsid w:val="00497969"/>
    <w:rsid w:val="004C6CAE"/>
    <w:rsid w:val="00537EFE"/>
    <w:rsid w:val="005A458A"/>
    <w:rsid w:val="009D5E2B"/>
    <w:rsid w:val="009E103A"/>
    <w:rsid w:val="00A019C0"/>
    <w:rsid w:val="00A4528E"/>
    <w:rsid w:val="00A753EA"/>
    <w:rsid w:val="00B73027"/>
    <w:rsid w:val="00B77530"/>
    <w:rsid w:val="00C279AD"/>
    <w:rsid w:val="00CA6C6D"/>
    <w:rsid w:val="00CC4C3C"/>
    <w:rsid w:val="00CD6BCF"/>
    <w:rsid w:val="00D22B46"/>
    <w:rsid w:val="00D84377"/>
    <w:rsid w:val="00DB0F4F"/>
    <w:rsid w:val="00DF69E5"/>
    <w:rsid w:val="00E7460E"/>
    <w:rsid w:val="00ED24EB"/>
    <w:rsid w:val="00F154E5"/>
    <w:rsid w:val="00F7570C"/>
    <w:rsid w:val="00FF7609"/>
    <w:rsid w:val="035F13C4"/>
    <w:rsid w:val="06831B1F"/>
    <w:rsid w:val="08957738"/>
    <w:rsid w:val="116161CA"/>
    <w:rsid w:val="117F1C99"/>
    <w:rsid w:val="12B350CB"/>
    <w:rsid w:val="15962639"/>
    <w:rsid w:val="1A267CB5"/>
    <w:rsid w:val="1D3B03FD"/>
    <w:rsid w:val="21C3116E"/>
    <w:rsid w:val="22D570F1"/>
    <w:rsid w:val="23144BA1"/>
    <w:rsid w:val="241E5CD3"/>
    <w:rsid w:val="25D07FC9"/>
    <w:rsid w:val="29C015DB"/>
    <w:rsid w:val="2B683E66"/>
    <w:rsid w:val="2C2B4A06"/>
    <w:rsid w:val="2DC36BE5"/>
    <w:rsid w:val="2F685BA3"/>
    <w:rsid w:val="333C09DD"/>
    <w:rsid w:val="3CC67593"/>
    <w:rsid w:val="3D191639"/>
    <w:rsid w:val="3F0245CB"/>
    <w:rsid w:val="45C82C66"/>
    <w:rsid w:val="489A6F55"/>
    <w:rsid w:val="48A405ED"/>
    <w:rsid w:val="49EA64D4"/>
    <w:rsid w:val="4F7A1D0B"/>
    <w:rsid w:val="51645832"/>
    <w:rsid w:val="5BB46055"/>
    <w:rsid w:val="5C3D6937"/>
    <w:rsid w:val="61306A6A"/>
    <w:rsid w:val="61C7218B"/>
    <w:rsid w:val="62533A5E"/>
    <w:rsid w:val="62E66268"/>
    <w:rsid w:val="66105129"/>
    <w:rsid w:val="67912471"/>
    <w:rsid w:val="6812639C"/>
    <w:rsid w:val="6A7321F1"/>
    <w:rsid w:val="6F285C6B"/>
    <w:rsid w:val="703052B1"/>
    <w:rsid w:val="708435F4"/>
    <w:rsid w:val="7C4411C4"/>
    <w:rsid w:val="7E9C7F12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959</Characters>
  <Lines>11</Lines>
  <Paragraphs>3</Paragraphs>
  <TotalTime>2</TotalTime>
  <ScaleCrop>false</ScaleCrop>
  <LinksUpToDate>false</LinksUpToDate>
  <CharactersWithSpaces>1264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2024-02-23T13:31:00Z</dcterms:created>
  <dc:creator>张毅</dc:creator>
  <cp:lastModifiedBy>Lya_Haru</cp:lastModifiedBy>
  <dcterms:modified xsi:type="dcterms:W3CDTF">2025-10-09T03:42:23Z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686FE8FE2248456793F1DB637B619D1C</vt:lpwstr>
  </property>
  <property fmtid="{D5CDD505-2E9C-101B-9397-08002B2CF9AE}" pid="4" name="KSOTemplateDocerSaveRecord">
    <vt:lpwstr>eyJoZGlkIjoiODMwMDBlODA1NGQ5MzQ3NzVmMjk3YTQyMWU5OTkyNzkiLCJ1c2VySWQiOiIyNzIyOTkzMTEifQ==</vt:lpwstr>
  </property>
</Properties>
</file>