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hint="eastAsia" w:ascii="宋体" w:hAnsi="宋体" w:cs="宋体"/>
          <w:b/>
          <w:bCs/>
          <w:sz w:val="36"/>
          <w:szCs w:val="36"/>
        </w:rPr>
      </w:pPr>
      <w:bookmarkStart w:id="0" w:name="_GoBack"/>
      <w:r>
        <w:rPr>
          <w:rFonts w:hint="eastAsia" w:ascii="宋体" w:hAnsi="宋体" w:cs="宋体"/>
          <w:b/>
          <w:bCs/>
          <w:sz w:val="36"/>
          <w:szCs w:val="36"/>
        </w:rPr>
        <w:t>2021年政务公开工作要点任务分解表</w:t>
      </w:r>
      <w:bookmarkEnd w:id="0"/>
    </w:p>
    <w:p>
      <w:pPr>
        <w:jc w:val="center"/>
        <w:rPr>
          <w:rFonts w:hint="eastAsia" w:ascii="华文中宋" w:hAnsi="华文中宋" w:eastAsia="华文中宋"/>
          <w:sz w:val="36"/>
          <w:szCs w:val="36"/>
        </w:rPr>
      </w:pPr>
    </w:p>
    <w:tbl>
      <w:tblPr>
        <w:tblStyle w:val="3"/>
        <w:tblW w:w="87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95"/>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楷体" w:hAnsi="华文楷体" w:eastAsia="华文楷体"/>
                <w:b/>
              </w:rPr>
            </w:pPr>
            <w:r>
              <w:rPr>
                <w:rFonts w:hint="eastAsia" w:ascii="华文楷体" w:hAnsi="华文楷体" w:eastAsia="华文楷体"/>
                <w:b/>
              </w:rPr>
              <w:t>序号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华文楷体" w:hAnsi="华文楷体" w:eastAsia="华文楷体"/>
                <w:b/>
              </w:rPr>
            </w:pPr>
            <w:r>
              <w:rPr>
                <w:rFonts w:hint="eastAsia" w:ascii="华文楷体" w:hAnsi="华文楷体" w:eastAsia="华文楷体"/>
                <w:b/>
              </w:rPr>
              <w:t>任务名称</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华文楷体" w:hAnsi="华文楷体" w:eastAsia="华文楷体"/>
                <w:b/>
              </w:rPr>
            </w:pPr>
            <w:r>
              <w:rPr>
                <w:rFonts w:hint="eastAsia" w:ascii="华文楷体" w:hAnsi="华文楷体" w:eastAsia="华文楷体"/>
                <w:b/>
              </w:rPr>
              <w:t>任务内容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完善政府信息公开配套制度</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b/>
                <w:sz w:val="21"/>
                <w:szCs w:val="21"/>
                <w:lang w:eastAsia="zh-CN"/>
              </w:rPr>
            </w:pPr>
            <w:r>
              <w:rPr>
                <w:rFonts w:hint="default" w:ascii="Times New Roman" w:hAnsi="Times New Roman" w:eastAsia="仿宋_GB2312" w:cs="Times New Roman"/>
                <w:sz w:val="21"/>
                <w:szCs w:val="21"/>
              </w:rPr>
              <w:t>完善依申请公开受理和答复程序，规范办理工作全流程，提高</w:t>
            </w:r>
            <w:r>
              <w:rPr>
                <w:rFonts w:hint="eastAsia" w:ascii="Times New Roman" w:hAnsi="Times New Roman" w:eastAsia="仿宋_GB2312" w:cs="Times New Roman"/>
                <w:sz w:val="21"/>
                <w:szCs w:val="21"/>
                <w:lang w:eastAsia="zh-CN"/>
              </w:rPr>
              <w:t>信息</w:t>
            </w:r>
            <w:r>
              <w:rPr>
                <w:rFonts w:hint="default" w:ascii="Times New Roman" w:hAnsi="Times New Roman" w:eastAsia="仿宋_GB2312" w:cs="Times New Roman"/>
                <w:sz w:val="21"/>
                <w:szCs w:val="21"/>
              </w:rPr>
              <w:t>公开工作信息化水平</w:t>
            </w:r>
            <w:r>
              <w:rPr>
                <w:rFonts w:hint="default" w:ascii="Times New Roman" w:hAnsi="Times New Roman" w:eastAsia="仿宋_GB2312"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3</w:t>
            </w:r>
          </w:p>
        </w:tc>
        <w:tc>
          <w:tcPr>
            <w:tcW w:w="1995" w:type="dxa"/>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做好法定公开内容的日常维护</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强化权责清单、政务服务事项清单、办事指南等权力配置和办事服务信息的调整更新。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4</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建立依申请公开转主动公开常态化审查机制</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开展对依申请公开的政府信息审查研判，及时转化公开符合主动公开条件的</w:t>
            </w:r>
            <w:r>
              <w:rPr>
                <w:rFonts w:hint="eastAsia" w:ascii="Times New Roman" w:hAnsi="Times New Roman" w:eastAsia="仿宋_GB2312" w:cs="Times New Roman"/>
                <w:sz w:val="21"/>
                <w:szCs w:val="21"/>
                <w:lang w:eastAsia="zh-CN"/>
              </w:rPr>
              <w:t>政府信息</w:t>
            </w:r>
            <w:r>
              <w:rPr>
                <w:rFonts w:hint="default"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811" w:type="dxa"/>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5</w:t>
            </w:r>
          </w:p>
        </w:tc>
        <w:tc>
          <w:tcPr>
            <w:tcW w:w="1995" w:type="dxa"/>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加强政策解读</w:t>
            </w:r>
            <w:r>
              <w:rPr>
                <w:rFonts w:hint="eastAsia" w:ascii="Times New Roman" w:hAnsi="Times New Roman" w:eastAsia="仿宋_GB2312" w:cs="Times New Roman"/>
                <w:sz w:val="21"/>
                <w:szCs w:val="21"/>
                <w:lang w:eastAsia="zh-CN"/>
              </w:rPr>
              <w:t>精准度，</w:t>
            </w:r>
            <w:r>
              <w:rPr>
                <w:rFonts w:hint="default" w:ascii="Times New Roman" w:hAnsi="Times New Roman" w:eastAsia="仿宋_GB2312" w:cs="Times New Roman"/>
                <w:sz w:val="21"/>
                <w:szCs w:val="21"/>
              </w:rPr>
              <w:t>强化政策施行后解读</w:t>
            </w:r>
          </w:p>
        </w:tc>
        <w:tc>
          <w:tcPr>
            <w:tcW w:w="5940" w:type="dxa"/>
            <w:tcBorders>
              <w:top w:val="single" w:color="auto" w:sz="4" w:space="0"/>
              <w:left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加强</w:t>
            </w:r>
            <w:r>
              <w:rPr>
                <w:rFonts w:hint="default" w:ascii="Times New Roman" w:hAnsi="Times New Roman" w:eastAsia="仿宋_GB2312" w:cs="Times New Roman"/>
                <w:sz w:val="21"/>
                <w:szCs w:val="21"/>
              </w:rPr>
              <w:t>政策制订过程中</w:t>
            </w:r>
            <w:r>
              <w:rPr>
                <w:rFonts w:hint="eastAsia" w:ascii="Times New Roman" w:hAnsi="Times New Roman" w:eastAsia="仿宋_GB2312" w:cs="Times New Roman"/>
                <w:sz w:val="21"/>
                <w:szCs w:val="21"/>
                <w:lang w:eastAsia="zh-CN"/>
              </w:rPr>
              <w:t>公众</w:t>
            </w:r>
            <w:r>
              <w:rPr>
                <w:rFonts w:hint="default" w:ascii="Times New Roman" w:hAnsi="Times New Roman" w:eastAsia="仿宋_GB2312" w:cs="Times New Roman"/>
                <w:sz w:val="21"/>
                <w:szCs w:val="21"/>
              </w:rPr>
              <w:t>关</w:t>
            </w:r>
            <w:r>
              <w:rPr>
                <w:rFonts w:hint="eastAsia" w:ascii="Times New Roman" w:hAnsi="Times New Roman" w:eastAsia="仿宋_GB2312" w:cs="Times New Roman"/>
                <w:sz w:val="21"/>
                <w:szCs w:val="21"/>
                <w:lang w:eastAsia="zh-CN"/>
              </w:rPr>
              <w:t>切</w:t>
            </w:r>
            <w:r>
              <w:rPr>
                <w:rFonts w:hint="default" w:ascii="Times New Roman" w:hAnsi="Times New Roman" w:eastAsia="仿宋_GB2312" w:cs="Times New Roman"/>
                <w:sz w:val="21"/>
                <w:szCs w:val="21"/>
              </w:rPr>
              <w:t>的针对性解答、说明</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对政策实施过程中产生的新情况、新问题，</w:t>
            </w:r>
            <w:r>
              <w:rPr>
                <w:rFonts w:hint="eastAsia" w:ascii="Times New Roman" w:hAnsi="Times New Roman" w:eastAsia="仿宋_GB2312" w:cs="Times New Roman"/>
                <w:sz w:val="21"/>
                <w:szCs w:val="21"/>
                <w:lang w:eastAsia="zh-CN"/>
              </w:rPr>
              <w:t>力争</w:t>
            </w:r>
            <w:r>
              <w:rPr>
                <w:rFonts w:hint="default" w:ascii="Times New Roman" w:hAnsi="Times New Roman" w:eastAsia="仿宋_GB2312" w:cs="Times New Roman"/>
                <w:sz w:val="21"/>
                <w:szCs w:val="21"/>
              </w:rPr>
              <w:t>开展二次解读、跟踪解读。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6</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扩大政策解读覆盖面</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加强</w:t>
            </w:r>
            <w:r>
              <w:rPr>
                <w:rFonts w:hint="default" w:ascii="Times New Roman" w:hAnsi="Times New Roman" w:eastAsia="仿宋_GB2312" w:cs="Times New Roman"/>
                <w:sz w:val="21"/>
                <w:szCs w:val="21"/>
              </w:rPr>
              <w:t>重要政策文件及解读材料</w:t>
            </w:r>
            <w:r>
              <w:rPr>
                <w:rFonts w:hint="eastAsia" w:ascii="Times New Roman" w:hAnsi="Times New Roman" w:eastAsia="仿宋_GB2312" w:cs="Times New Roman"/>
                <w:sz w:val="21"/>
                <w:szCs w:val="21"/>
                <w:lang w:eastAsia="zh-CN"/>
              </w:rPr>
              <w:t>的宣传</w:t>
            </w:r>
            <w:r>
              <w:rPr>
                <w:rFonts w:hint="default" w:ascii="Times New Roman" w:hAnsi="Times New Roman" w:eastAsia="仿宋_GB2312" w:cs="Times New Roman"/>
                <w:sz w:val="21"/>
                <w:szCs w:val="21"/>
              </w:rPr>
              <w:t>，提高政策到达率和知晓度。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实行重大行政决策事项目录管理</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按程序</w:t>
            </w:r>
            <w:r>
              <w:rPr>
                <w:rFonts w:hint="default" w:ascii="Times New Roman" w:hAnsi="Times New Roman" w:eastAsia="仿宋_GB2312" w:cs="Times New Roman"/>
                <w:sz w:val="21"/>
                <w:szCs w:val="21"/>
              </w:rPr>
              <w:t>发布本单位重大行政决策事项目录。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left"/>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落实</w:t>
            </w:r>
            <w:r>
              <w:rPr>
                <w:rFonts w:hint="default" w:ascii="Times New Roman" w:hAnsi="Times New Roman" w:eastAsia="仿宋_GB2312" w:cs="Times New Roman"/>
                <w:sz w:val="21"/>
                <w:szCs w:val="21"/>
              </w:rPr>
              <w:t>决策</w:t>
            </w:r>
            <w:r>
              <w:rPr>
                <w:rFonts w:hint="eastAsia" w:ascii="Times New Roman" w:hAnsi="Times New Roman" w:eastAsia="仿宋_GB2312" w:cs="Times New Roman"/>
                <w:sz w:val="21"/>
                <w:szCs w:val="21"/>
                <w:lang w:eastAsia="zh-CN"/>
              </w:rPr>
              <w:t>程序</w:t>
            </w:r>
            <w:r>
              <w:rPr>
                <w:rFonts w:hint="default" w:ascii="Times New Roman" w:hAnsi="Times New Roman" w:eastAsia="仿宋_GB2312" w:cs="Times New Roman"/>
                <w:sz w:val="21"/>
                <w:szCs w:val="21"/>
              </w:rPr>
              <w:t>公众参与</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落实</w:t>
            </w:r>
            <w:r>
              <w:rPr>
                <w:rFonts w:hint="default" w:ascii="Times New Roman" w:hAnsi="Times New Roman" w:eastAsia="仿宋_GB2312" w:cs="Times New Roman"/>
                <w:sz w:val="21"/>
                <w:szCs w:val="21"/>
              </w:rPr>
              <w:t>决策审议过程公众参与</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邀请企业代表、市民代表等利益相关方代表列席</w:t>
            </w:r>
            <w:r>
              <w:rPr>
                <w:rFonts w:hint="default" w:ascii="Times New Roman" w:hAnsi="Times New Roman" w:eastAsia="仿宋_GB2312" w:cs="Times New Roman"/>
                <w:sz w:val="21"/>
                <w:szCs w:val="21"/>
                <w:lang w:eastAsia="zh-CN"/>
              </w:rPr>
              <w:t>委主任办公会</w:t>
            </w:r>
            <w:r>
              <w:rPr>
                <w:rFonts w:hint="default"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提高政府决策靶向性和质量</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b/>
                <w:sz w:val="21"/>
                <w:szCs w:val="21"/>
              </w:rPr>
            </w:pPr>
            <w:r>
              <w:rPr>
                <w:rFonts w:hint="eastAsia" w:ascii="Times New Roman" w:hAnsi="Times New Roman" w:eastAsia="仿宋_GB2312" w:cs="Times New Roman"/>
                <w:sz w:val="21"/>
                <w:szCs w:val="21"/>
                <w:lang w:eastAsia="zh-CN"/>
              </w:rPr>
              <w:t>加强</w:t>
            </w:r>
            <w:r>
              <w:rPr>
                <w:rFonts w:hint="default" w:ascii="Times New Roman" w:hAnsi="Times New Roman" w:eastAsia="仿宋_GB2312" w:cs="Times New Roman"/>
                <w:sz w:val="21"/>
                <w:szCs w:val="21"/>
              </w:rPr>
              <w:t>制订涉企政策</w:t>
            </w:r>
            <w:r>
              <w:rPr>
                <w:rFonts w:hint="eastAsia" w:ascii="Times New Roman" w:hAnsi="Times New Roman" w:eastAsia="仿宋_GB2312" w:cs="Times New Roman"/>
                <w:sz w:val="21"/>
                <w:szCs w:val="21"/>
                <w:lang w:eastAsia="zh-CN"/>
              </w:rPr>
              <w:t>公众参与，充分</w:t>
            </w:r>
            <w:r>
              <w:rPr>
                <w:rFonts w:hint="default" w:ascii="Times New Roman" w:hAnsi="Times New Roman" w:eastAsia="仿宋_GB2312" w:cs="Times New Roman"/>
                <w:sz w:val="21"/>
                <w:szCs w:val="21"/>
              </w:rPr>
              <w:t>听取相关企业和行业协会意见。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扩大重要决策草案意见征集的覆盖度</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丰富</w:t>
            </w:r>
            <w:r>
              <w:rPr>
                <w:rFonts w:hint="default" w:ascii="Times New Roman" w:hAnsi="Times New Roman" w:eastAsia="仿宋_GB2312" w:cs="Times New Roman"/>
                <w:sz w:val="21"/>
                <w:szCs w:val="21"/>
              </w:rPr>
              <w:t>公开征求意见</w:t>
            </w:r>
            <w:r>
              <w:rPr>
                <w:rFonts w:hint="eastAsia" w:ascii="Times New Roman" w:hAnsi="Times New Roman" w:eastAsia="仿宋_GB2312" w:cs="Times New Roman"/>
                <w:sz w:val="21"/>
                <w:szCs w:val="21"/>
                <w:lang w:eastAsia="zh-CN"/>
              </w:rPr>
              <w:t>渠道</w:t>
            </w:r>
            <w:r>
              <w:rPr>
                <w:rFonts w:hint="default" w:ascii="Times New Roman" w:hAnsi="Times New Roman" w:eastAsia="仿宋_GB2312" w:cs="Times New Roman"/>
                <w:sz w:val="21"/>
                <w:szCs w:val="21"/>
              </w:rPr>
              <w:t>，</w:t>
            </w:r>
            <w:r>
              <w:rPr>
                <w:rFonts w:hint="eastAsia" w:ascii="Times New Roman" w:hAnsi="Times New Roman" w:eastAsia="仿宋_GB2312" w:cs="Times New Roman"/>
                <w:sz w:val="21"/>
                <w:szCs w:val="21"/>
                <w:lang w:eastAsia="zh-CN"/>
              </w:rPr>
              <w:t>加强征集意见情况的公开</w:t>
            </w:r>
            <w:r>
              <w:rPr>
                <w:rFonts w:hint="default"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11</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推进</w:t>
            </w:r>
            <w:r>
              <w:rPr>
                <w:rFonts w:hint="default" w:ascii="Times New Roman" w:hAnsi="Times New Roman" w:eastAsia="仿宋_GB2312" w:cs="Times New Roman"/>
                <w:sz w:val="21"/>
                <w:szCs w:val="21"/>
                <w:lang w:eastAsia="zh-CN"/>
              </w:rPr>
              <w:t>落实</w:t>
            </w:r>
            <w:r>
              <w:rPr>
                <w:rFonts w:hint="default" w:ascii="Times New Roman" w:hAnsi="Times New Roman" w:eastAsia="仿宋_GB2312" w:cs="Times New Roman"/>
                <w:sz w:val="21"/>
                <w:szCs w:val="21"/>
              </w:rPr>
              <w:t>“十四五”市级规划编制</w:t>
            </w:r>
          </w:p>
          <w:p>
            <w:pPr>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制定《上海市乡村振兴十四五”规划》，并做好宣传解读工作。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12</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lang w:val="en-US" w:eastAsia="zh-CN"/>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制定《上海市能源发展“十四五”规划》，并做好宣传解读工作。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13</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制定《上海市资源节约和循环经济发展“十四五”规划》，并做好宣传解读工作。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14</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制定《上海市基本公共服务“十四五”规划》，并做好宣传解读工作。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15</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制定《上海市服务业发展“十四五”规划》，并做好宣传解读工作。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16</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制定《上海市战略性新兴产业和先导产业“十四五”规划》，并做好宣传解读工作。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17</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高水平建设五大新城</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制定《“十四五”加快推进新城高质量发展的支持政策》</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18</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《“十四五”新城公共服务专项方案》，并做好宣传解读工作。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全面深化自贸试验区临港新片区建设</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制定《临港新片区高质量社会服务体系建设规划》</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20</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tabs>
                <w:tab w:val="left" w:pos="255"/>
              </w:tabs>
              <w:jc w:val="lef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推动长三角一体化发展实现新突破</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制定《上海市贯彻落实&lt;虹桥国际开放枢纽建设总体方案&gt;重点任务分工》</w:t>
            </w:r>
            <w:r>
              <w:rPr>
                <w:rFonts w:hint="default" w:ascii="Times New Roman" w:hAnsi="Times New Roman" w:eastAsia="仿宋_GB2312" w:cs="Times New Roman"/>
                <w:sz w:val="21"/>
                <w:szCs w:val="21"/>
                <w:lang w:eastAsia="zh-CN"/>
              </w:rPr>
              <w:t>，加强新闻宣传。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21</w:t>
            </w:r>
          </w:p>
        </w:tc>
        <w:tc>
          <w:tcPr>
            <w:tcW w:w="1995" w:type="dxa"/>
            <w:vMerge w:val="restart"/>
            <w:tcBorders>
              <w:top w:val="single" w:color="auto" w:sz="4" w:space="0"/>
              <w:left w:val="single" w:color="auto" w:sz="4" w:space="0"/>
              <w:right w:val="single" w:color="auto" w:sz="4" w:space="0"/>
            </w:tcBorders>
            <w:noWrap w:val="0"/>
            <w:vAlign w:val="center"/>
          </w:tcPr>
          <w:p>
            <w:pPr>
              <w:tabs>
                <w:tab w:val="left" w:pos="255"/>
              </w:tabs>
              <w:jc w:val="lef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全面推进战略性新兴产业发展</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制定《上海市促进生物医药产业高质量发展的若干</w:t>
            </w:r>
            <w:r>
              <w:rPr>
                <w:rFonts w:hint="eastAsia" w:ascii="Times New Roman" w:hAnsi="Times New Roman" w:eastAsia="仿宋_GB2312" w:cs="Times New Roman"/>
                <w:sz w:val="21"/>
                <w:szCs w:val="21"/>
                <w:lang w:eastAsia="zh-CN"/>
              </w:rPr>
              <w:t>意见</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22</w:t>
            </w:r>
          </w:p>
        </w:tc>
        <w:tc>
          <w:tcPr>
            <w:tcW w:w="1995" w:type="dxa"/>
            <w:vMerge w:val="continue"/>
            <w:tcBorders>
              <w:left w:val="single" w:color="auto" w:sz="4" w:space="0"/>
              <w:right w:val="single" w:color="auto" w:sz="4" w:space="0"/>
            </w:tcBorders>
            <w:noWrap w:val="0"/>
            <w:vAlign w:val="center"/>
          </w:tcPr>
          <w:p>
            <w:pPr>
              <w:tabs>
                <w:tab w:val="left" w:pos="255"/>
              </w:tabs>
              <w:jc w:val="left"/>
              <w:rPr>
                <w:rFonts w:hint="default" w:ascii="Times New Roman" w:hAnsi="Times New Roman" w:eastAsia="仿宋_GB2312" w:cs="Times New Roman"/>
                <w:sz w:val="21"/>
                <w:szCs w:val="21"/>
                <w:lang w:eastAsia="zh-CN"/>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制定</w:t>
            </w:r>
            <w:r>
              <w:rPr>
                <w:rFonts w:hint="default" w:ascii="Times New Roman" w:hAnsi="Times New Roman" w:eastAsia="仿宋_GB2312" w:cs="Times New Roman"/>
                <w:sz w:val="21"/>
                <w:szCs w:val="21"/>
              </w:rPr>
              <w:t>新一轮促进上海市集成电路产业和软件产业发展政策</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23</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着力推动先进制造业发展</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《上海市加快新能源汽车产业发展实施计划（2021-2025年），并做好宣传解读工作。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24</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lang w:eastAsia="zh-CN"/>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《上海市鼓励购买和使用新能源汽车实施办法》，并做好宣传解读工作。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25</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lang w:eastAsia="zh-CN"/>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制定《关于本市支持燃料电池汽车产业发展若干政策》，配合有关部门制定相关配套细则，并做好宣传解读工作。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26</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持续打响“上海服务”品牌</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举办好2021年“中国品牌日”活动</w:t>
            </w:r>
            <w:r>
              <w:rPr>
                <w:rFonts w:hint="eastAsia" w:ascii="Times New Roman" w:hAnsi="Times New Roman" w:eastAsia="仿宋_GB2312" w:cs="Times New Roman"/>
                <w:sz w:val="21"/>
                <w:szCs w:val="21"/>
                <w:lang w:eastAsia="zh-CN"/>
              </w:rPr>
              <w:t>，做好宣传工作。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27</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val="en-US" w:eastAsia="zh-CN"/>
              </w:rPr>
              <w:t>制定新一轮全力打响“上海服务”品牌三年行动计划，并做好宣传解读工作。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继续做好稳外资稳外贸相关工作</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制定《上海市外商投资项目核准和备案办法》，</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29</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持续深化营商环境改革</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制</w:t>
            </w:r>
            <w:r>
              <w:rPr>
                <w:rFonts w:hint="eastAsia" w:ascii="Times New Roman" w:hAnsi="Times New Roman" w:eastAsia="仿宋_GB2312" w:cs="Times New Roman"/>
                <w:sz w:val="21"/>
                <w:szCs w:val="21"/>
                <w:lang w:eastAsia="zh-CN"/>
              </w:rPr>
              <w:t>定</w:t>
            </w:r>
            <w:r>
              <w:rPr>
                <w:rFonts w:hint="default" w:ascii="Times New Roman" w:hAnsi="Times New Roman" w:eastAsia="仿宋_GB2312" w:cs="Times New Roman"/>
                <w:sz w:val="21"/>
                <w:szCs w:val="21"/>
              </w:rPr>
              <w:t>实施优化营商环境方案4.0版方案，</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30</w:t>
            </w:r>
          </w:p>
        </w:tc>
        <w:tc>
          <w:tcPr>
            <w:tcW w:w="1995" w:type="dxa"/>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深入推进投融资体制改革</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制定支持上海基础设施REITs发展的政策文件，</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31</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深化要素市场化配置改革</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制定《关于构建更加完善的要素市场化配置体制机制更好服务新发展格局的实施意见》，</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32</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深化公共资源“一网交易”改革</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《上海深化公共资源“一网交易”改革三年行动方案》</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val="en-US" w:eastAsia="zh-CN"/>
              </w:rPr>
              <w:t>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33</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起草《上海市公共资源交易管理办法》，落实公众参与，后期做好宣传解读工作。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34</w:t>
            </w:r>
          </w:p>
        </w:tc>
        <w:tc>
          <w:tcPr>
            <w:tcW w:w="1995" w:type="dxa"/>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持续推进社会信用体系建设</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制定</w:t>
            </w:r>
            <w:r>
              <w:rPr>
                <w:rFonts w:hint="default" w:ascii="Times New Roman" w:hAnsi="Times New Roman" w:eastAsia="仿宋_GB2312" w:cs="Times New Roman"/>
                <w:sz w:val="21"/>
                <w:szCs w:val="21"/>
                <w:lang w:val="en-US" w:eastAsia="zh-CN"/>
              </w:rPr>
              <w:t>本市社会信用体系建设三年行动计划，并做好宣传解读工作。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35</w:t>
            </w:r>
          </w:p>
        </w:tc>
        <w:tc>
          <w:tcPr>
            <w:tcW w:w="1995" w:type="dxa"/>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统筹推进节能减排工作</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制定上海市2021年节能减排和应对气候变化重点工作安排，并做好宣传解读工作。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36</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加强价格综合调控和价费管理</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修订《上海市养老机构服务收费管理办法》，落实重大行政决策公众参与程序，并做好宣传解读工作。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37</w:t>
            </w:r>
          </w:p>
        </w:tc>
        <w:tc>
          <w:tcPr>
            <w:tcW w:w="1995" w:type="dxa"/>
            <w:vMerge w:val="continue"/>
            <w:tcBorders>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修订《上海市定价目录》。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38</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协调推进崇明世界级生态岛建设</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《崇明生态岛发展纲要》（2021-2035年），并做好宣传解读工作。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39</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推进能源资源统筹平衡和转型升级</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制定</w:t>
            </w:r>
            <w:r>
              <w:rPr>
                <w:rFonts w:hint="default" w:ascii="Times New Roman" w:hAnsi="Times New Roman" w:eastAsia="仿宋_GB2312" w:cs="Times New Roman"/>
                <w:sz w:val="21"/>
                <w:szCs w:val="21"/>
                <w:lang w:val="en-US" w:eastAsia="zh-CN"/>
              </w:rPr>
              <w:t>《上海市可再生能源消纳保障实施方案》，并做好宣传解读工作。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40</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积极落实2021年上海市为民办实事项目</w:t>
            </w:r>
            <w:r>
              <w:rPr>
                <w:rFonts w:hint="eastAsia" w:ascii="Times New Roman" w:hAnsi="Times New Roman" w:eastAsia="仿宋_GB2312" w:cs="Times New Roman"/>
                <w:sz w:val="21"/>
                <w:szCs w:val="21"/>
                <w:lang w:eastAsia="zh-CN"/>
              </w:rPr>
              <w:t>，做好宣传工作</w:t>
            </w:r>
            <w:r>
              <w:rPr>
                <w:rFonts w:hint="default" w:ascii="Times New Roman" w:hAnsi="Times New Roman" w:eastAsia="仿宋_GB2312"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41</w:t>
            </w:r>
          </w:p>
        </w:tc>
        <w:tc>
          <w:tcPr>
            <w:tcW w:w="1995" w:type="dxa"/>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大力促进循环经济发展</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color w:val="0000FF"/>
                <w:sz w:val="21"/>
                <w:szCs w:val="21"/>
                <w:lang w:val="en-US" w:eastAsia="zh-CN"/>
              </w:rPr>
            </w:pPr>
            <w:r>
              <w:rPr>
                <w:rFonts w:hint="default" w:ascii="Times New Roman" w:hAnsi="Times New Roman" w:eastAsia="仿宋_GB2312" w:cs="Times New Roman"/>
                <w:sz w:val="21"/>
                <w:szCs w:val="21"/>
                <w:lang w:val="en-US" w:eastAsia="zh-CN"/>
              </w:rPr>
              <w:t>修订本市循环经济发展扶持办法，并做好宣传解读工作。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42</w:t>
            </w:r>
          </w:p>
        </w:tc>
        <w:tc>
          <w:tcPr>
            <w:tcW w:w="1995" w:type="dxa"/>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统筹推进基本公共服务和“一老一小”工作</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调整2021年上海市基本公共服务项目清单，并做好宣传解读工作。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43</w:t>
            </w:r>
          </w:p>
        </w:tc>
        <w:tc>
          <w:tcPr>
            <w:tcW w:w="1995" w:type="dxa"/>
            <w:vMerge w:val="restart"/>
            <w:tcBorders>
              <w:top w:val="single" w:color="auto" w:sz="4" w:space="0"/>
              <w:left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全面实施预算绩效管理</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完成2020年度我委部门决算工作，做好信息公开。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44</w:t>
            </w:r>
          </w:p>
        </w:tc>
        <w:tc>
          <w:tcPr>
            <w:tcW w:w="1995" w:type="dxa"/>
            <w:vMerge w:val="continue"/>
            <w:tcBorders>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组织</w:t>
            </w:r>
            <w:r>
              <w:rPr>
                <w:rFonts w:hint="default" w:ascii="Times New Roman" w:hAnsi="Times New Roman" w:eastAsia="仿宋_GB2312" w:cs="Times New Roman"/>
                <w:sz w:val="21"/>
                <w:szCs w:val="21"/>
                <w:lang w:val="en-US" w:eastAsia="zh-CN"/>
              </w:rPr>
              <w:t>编制2022年度我委系统部门预算，做好信息公开。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45</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动态优化更新政务公开标准目录</w:t>
            </w:r>
          </w:p>
        </w:tc>
        <w:tc>
          <w:tcPr>
            <w:tcW w:w="59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持续优化调整政务公开标准化规范化目录。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00088"/>
    <w:rsid w:val="5B70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unhideWhenUsed/>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2021-05-19T08:39:00Z</dcterms:created>
  <dc:creator>Administrator</dc:creator>
  <cp:lastModifiedBy>Administrator</cp:lastModifiedBy>
  <dcterms:modified xsi:type="dcterms:W3CDTF">2021-05-19T08:39:25Z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115AE22B7F0A4109B462FEB4845AEC95</vt:lpwstr>
  </property>
</Properties>
</file>