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rPr>
        <w:t>上海市公共资源交易目录（202</w:t>
      </w:r>
      <w:r>
        <w:rPr>
          <w:rFonts w:hint="eastAsia" w:ascii="方正小标宋_GBK" w:hAnsi="方正小标宋_GBK" w:eastAsia="方正小标宋_GBK" w:cs="方正小标宋_GBK"/>
          <w:b/>
          <w:sz w:val="36"/>
          <w:szCs w:val="36"/>
          <w:lang w:val="en-US" w:eastAsia="zh-CN"/>
        </w:rPr>
        <w:t>4</w:t>
      </w:r>
      <w:r>
        <w:rPr>
          <w:rFonts w:hint="eastAsia" w:ascii="方正小标宋_GBK" w:hAnsi="方正小标宋_GBK" w:eastAsia="方正小标宋_GBK" w:cs="方正小标宋_GBK"/>
          <w:b/>
          <w:sz w:val="36"/>
          <w:szCs w:val="36"/>
        </w:rPr>
        <w:t>年版）</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b/>
          <w:sz w:val="36"/>
          <w:szCs w:val="36"/>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b/>
          <w:sz w:val="36"/>
          <w:szCs w:val="36"/>
        </w:rPr>
      </w:pPr>
      <w:r>
        <w:rPr>
          <w:rFonts w:hint="default" w:ascii="Times New Roman" w:hAnsi="Times New Roman" w:eastAsia="黑体" w:cs="Times New Roman"/>
          <w:b/>
          <w:sz w:val="36"/>
          <w:szCs w:val="36"/>
        </w:rPr>
        <w:t>说  明</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一、根据《上海市公共资源交易管理办法》（沪府令54号），</w:t>
      </w:r>
      <w:r>
        <w:rPr>
          <w:rFonts w:hint="default" w:ascii="Times New Roman" w:hAnsi="Times New Roman" w:eastAsia="仿宋_GB2312" w:cs="Times New Roman"/>
          <w:sz w:val="32"/>
          <w:szCs w:val="32"/>
          <w:lang w:eastAsia="zh-CN"/>
        </w:rPr>
        <w:t>我市</w:t>
      </w:r>
      <w:r>
        <w:rPr>
          <w:rFonts w:hint="default" w:ascii="Times New Roman" w:hAnsi="Times New Roman" w:eastAsia="仿宋_GB2312" w:cs="Times New Roman"/>
          <w:sz w:val="32"/>
          <w:szCs w:val="32"/>
        </w:rPr>
        <w:t>公共资源交易实行目录管理，由市发展改革委会同有关部门制订并发布实施。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二、本目录所称公共资源交易，是指涉及公共利益、公众安全的具有公有性、公益性的</w:t>
      </w:r>
      <w:r>
        <w:rPr>
          <w:rFonts w:hint="default" w:ascii="Times New Roman" w:hAnsi="Times New Roman" w:eastAsia="仿宋_GB2312" w:cs="Times New Roman"/>
          <w:sz w:val="32"/>
          <w:szCs w:val="32"/>
          <w:lang w:eastAsia="zh-CN"/>
        </w:rPr>
        <w:t>要素</w:t>
      </w:r>
      <w:r>
        <w:rPr>
          <w:rFonts w:hint="default" w:ascii="Times New Roman" w:hAnsi="Times New Roman" w:eastAsia="仿宋_GB2312" w:cs="Times New Roman"/>
          <w:sz w:val="32"/>
          <w:szCs w:val="32"/>
        </w:rPr>
        <w:t>资源交易活动。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、本目录</w:t>
      </w:r>
      <w:r>
        <w:rPr>
          <w:rFonts w:hint="default" w:ascii="Times New Roman" w:hAnsi="Times New Roman" w:eastAsia="仿宋_GB2312" w:cs="Times New Roman"/>
          <w:sz w:val="32"/>
          <w:szCs w:val="32"/>
          <w:lang w:eastAsia="zh-CN"/>
        </w:rPr>
        <w:t>内的公共资源交易品类分为</w:t>
      </w:r>
      <w:r>
        <w:rPr>
          <w:rFonts w:hint="default" w:ascii="Times New Roman" w:hAnsi="Times New Roman" w:eastAsia="仿宋_GB2312" w:cs="Times New Roman"/>
          <w:sz w:val="32"/>
          <w:szCs w:val="32"/>
        </w:rPr>
        <w:t>“应进必进”</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“能进则进”</w:t>
      </w:r>
      <w:r>
        <w:rPr>
          <w:rFonts w:hint="default" w:ascii="Times New Roman" w:hAnsi="Times New Roman" w:eastAsia="仿宋_GB2312" w:cs="Times New Roman"/>
          <w:sz w:val="32"/>
          <w:szCs w:val="32"/>
          <w:lang w:eastAsia="zh-CN"/>
        </w:rPr>
        <w:t>两类。列入</w:t>
      </w:r>
      <w:r>
        <w:rPr>
          <w:rFonts w:hint="default" w:ascii="Times New Roman" w:hAnsi="Times New Roman" w:eastAsia="仿宋_GB2312" w:cs="Times New Roman"/>
          <w:sz w:val="32"/>
          <w:szCs w:val="32"/>
        </w:rPr>
        <w:t>“应进必进”的交易品类</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有明确</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制度依据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w:t>
      </w:r>
      <w:r>
        <w:rPr>
          <w:rFonts w:hint="default" w:ascii="Times New Roman" w:hAnsi="Times New Roman" w:eastAsia="仿宋_GB2312" w:cs="Times New Roman"/>
          <w:sz w:val="32"/>
          <w:szCs w:val="32"/>
          <w:lang w:eastAsia="zh-CN"/>
        </w:rPr>
        <w:t>市公共资源交易平台体系</w:t>
      </w:r>
      <w:r>
        <w:rPr>
          <w:rFonts w:hint="default" w:ascii="Times New Roman" w:hAnsi="Times New Roman" w:eastAsia="仿宋_GB2312" w:cs="Times New Roman"/>
          <w:sz w:val="32"/>
          <w:szCs w:val="32"/>
        </w:rPr>
        <w:t>开展交易。列入“能进则进”的交易品类包括：一是暂无制度依据规定属于“应进必进”的品类；二是鼓励通过</w:t>
      </w:r>
      <w:r>
        <w:rPr>
          <w:rFonts w:hint="default" w:ascii="Times New Roman" w:hAnsi="Times New Roman" w:eastAsia="仿宋_GB2312" w:cs="Times New Roman"/>
          <w:sz w:val="32"/>
          <w:szCs w:val="32"/>
          <w:lang w:eastAsia="zh-CN"/>
        </w:rPr>
        <w:t>市公共资源</w:t>
      </w:r>
      <w:r>
        <w:rPr>
          <w:rFonts w:hint="default" w:ascii="Times New Roman" w:hAnsi="Times New Roman" w:eastAsia="仿宋_GB2312" w:cs="Times New Roman"/>
          <w:sz w:val="32"/>
          <w:szCs w:val="32"/>
        </w:rPr>
        <w:t>平台体系开展交易的品类。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本目录外的新增公共资源交易，原则上不得新建交易平台，统一依托市公共资源交易平台综合交易系统进行交易。</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、法律、法规、规章对公共资源交易范围有规定的，从其规定。本目录执行期间，法律、法规、规章对公共资源交易范围有调整的，本目录涉及的交易类别和交易内容自动调整</w:t>
      </w:r>
      <w:r>
        <w:rPr>
          <w:rFonts w:hint="default" w:ascii="Times New Roman" w:hAnsi="Times New Roman" w:eastAsia="仿宋_GB2312" w:cs="Times New Roman"/>
          <w:sz w:val="32"/>
          <w:szCs w:val="32"/>
          <w:lang w:eastAsia="zh-CN"/>
        </w:rPr>
        <w:t>。</w:t>
      </w:r>
    </w:p>
    <w:p>
      <w:pPr>
        <w:rPr>
          <w:rFonts w:hint="default" w:ascii="Times New Roman" w:hAnsi="Times New Roman" w:eastAsia="黑体" w:cs="Times New Roman"/>
          <w:sz w:val="32"/>
          <w:szCs w:val="32"/>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p>
    <w:p>
      <w:pPr>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一、应进必进</w:t>
      </w:r>
    </w:p>
    <w:tbl>
      <w:tblPr>
        <w:tblStyle w:val="10"/>
        <w:tblW w:w="15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810"/>
        <w:gridCol w:w="1029"/>
        <w:gridCol w:w="1805"/>
        <w:gridCol w:w="5161"/>
        <w:gridCol w:w="2933"/>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blHeader/>
        </w:trPr>
        <w:tc>
          <w:tcPr>
            <w:tcW w:w="986" w:type="dxa"/>
            <w:shd w:val="clear" w:color="auto" w:fill="FEF2CB" w:themeFill="accent3" w:themeFillTint="32"/>
            <w:vAlign w:val="center"/>
          </w:tcPr>
          <w:p>
            <w:pPr>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品类</w:t>
            </w:r>
          </w:p>
          <w:p>
            <w:pPr>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编号</w:t>
            </w:r>
          </w:p>
        </w:tc>
        <w:tc>
          <w:tcPr>
            <w:tcW w:w="1810" w:type="dxa"/>
            <w:shd w:val="clear" w:color="auto" w:fill="FEF2CB" w:themeFill="accent3" w:themeFillTint="32"/>
            <w:vAlign w:val="center"/>
          </w:tcPr>
          <w:p>
            <w:pPr>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品类</w:t>
            </w:r>
          </w:p>
        </w:tc>
        <w:tc>
          <w:tcPr>
            <w:tcW w:w="1029" w:type="dxa"/>
            <w:shd w:val="clear" w:color="auto" w:fill="FEF2CB" w:themeFill="accent3" w:themeFillTint="32"/>
            <w:vAlign w:val="center"/>
          </w:tcPr>
          <w:p>
            <w:pPr>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分项</w:t>
            </w:r>
          </w:p>
          <w:p>
            <w:pPr>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编号</w:t>
            </w:r>
          </w:p>
        </w:tc>
        <w:tc>
          <w:tcPr>
            <w:tcW w:w="1805" w:type="dxa"/>
            <w:shd w:val="clear" w:color="auto" w:fill="FEF2CB" w:themeFill="accent3" w:themeFillTint="32"/>
            <w:vAlign w:val="center"/>
          </w:tcPr>
          <w:p>
            <w:pPr>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交易分项</w:t>
            </w:r>
          </w:p>
        </w:tc>
        <w:tc>
          <w:tcPr>
            <w:tcW w:w="5161" w:type="dxa"/>
            <w:shd w:val="clear" w:color="auto" w:fill="FEF2CB" w:themeFill="accent3" w:themeFillTint="32"/>
            <w:vAlign w:val="center"/>
          </w:tcPr>
          <w:p>
            <w:pPr>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交易内容</w:t>
            </w:r>
          </w:p>
        </w:tc>
        <w:tc>
          <w:tcPr>
            <w:tcW w:w="2933" w:type="dxa"/>
            <w:shd w:val="clear" w:color="auto" w:fill="FEF2CB" w:themeFill="accent3" w:themeFillTint="32"/>
            <w:vAlign w:val="center"/>
          </w:tcPr>
          <w:p>
            <w:pPr>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规模标准</w:t>
            </w:r>
          </w:p>
          <w:p>
            <w:pPr>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及范围</w:t>
            </w:r>
          </w:p>
        </w:tc>
        <w:tc>
          <w:tcPr>
            <w:tcW w:w="2156" w:type="dxa"/>
            <w:shd w:val="clear" w:color="auto" w:fill="FEF2CB" w:themeFill="accent3" w:themeFillTint="32"/>
            <w:vAlign w:val="center"/>
          </w:tcPr>
          <w:p>
            <w:pPr>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行业主管/</w:t>
            </w:r>
          </w:p>
          <w:p>
            <w:pPr>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8" w:hRule="atLeast"/>
        </w:trPr>
        <w:tc>
          <w:tcPr>
            <w:tcW w:w="986"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w:t>
            </w:r>
          </w:p>
        </w:tc>
        <w:tc>
          <w:tcPr>
            <w:tcW w:w="1810"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工程建设项目招标投标</w:t>
            </w:r>
          </w:p>
        </w:tc>
        <w:tc>
          <w:tcPr>
            <w:tcW w:w="1029"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1.1</w:t>
            </w:r>
          </w:p>
        </w:tc>
        <w:tc>
          <w:tcPr>
            <w:tcW w:w="1805"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kern w:val="0"/>
                <w:sz w:val="24"/>
                <w:szCs w:val="28"/>
              </w:rPr>
              <w:t>依法必须进行招标的工程建设项目</w:t>
            </w:r>
          </w:p>
        </w:tc>
        <w:tc>
          <w:tcPr>
            <w:tcW w:w="51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kern w:val="0"/>
                <w:sz w:val="24"/>
                <w:szCs w:val="28"/>
              </w:rPr>
              <w:t>各类房屋建筑工程、市政</w:t>
            </w:r>
            <w:r>
              <w:rPr>
                <w:rFonts w:hint="default" w:ascii="Times New Roman" w:hAnsi="Times New Roman" w:eastAsia="仿宋" w:cs="Times New Roman"/>
                <w:kern w:val="0"/>
                <w:sz w:val="24"/>
                <w:szCs w:val="28"/>
                <w:lang w:eastAsia="zh-CN"/>
              </w:rPr>
              <w:t>基础设施</w:t>
            </w:r>
            <w:r>
              <w:rPr>
                <w:rFonts w:hint="default" w:ascii="Times New Roman" w:hAnsi="Times New Roman" w:eastAsia="仿宋" w:cs="Times New Roman"/>
                <w:kern w:val="0"/>
                <w:sz w:val="24"/>
                <w:szCs w:val="28"/>
              </w:rPr>
              <w:t>工程、公路工程、水运工程、水利工程、广播电视工程、能源工程、民航工程中非民航专业工程、市域铁路工程和其他工程建设项目，包括项目新建、改建、扩建、装修、修缮项目的勘察、设计、施工、监理以及与工程建设有关的重要设备、材料等的采购。</w:t>
            </w:r>
          </w:p>
        </w:tc>
        <w:tc>
          <w:tcPr>
            <w:tcW w:w="2933" w:type="dxa"/>
            <w:vAlign w:val="center"/>
          </w:tcPr>
          <w:p>
            <w:pPr>
              <w:jc w:val="left"/>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1.施工单项合同估算价在400万元人民币以上；</w:t>
            </w:r>
          </w:p>
          <w:p>
            <w:pPr>
              <w:jc w:val="left"/>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2.重要设备、材料等货物的采购，单项合同估算价在 200万元人民币以上；</w:t>
            </w:r>
          </w:p>
          <w:p>
            <w:pPr>
              <w:jc w:val="left"/>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3.勘察、设计、监理等服务的采购，单项合同估算价在100万元人民币以上。</w:t>
            </w:r>
          </w:p>
        </w:tc>
        <w:tc>
          <w:tcPr>
            <w:tcW w:w="2156"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市住房城乡建设</w:t>
            </w:r>
          </w:p>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trPr>
        <w:tc>
          <w:tcPr>
            <w:tcW w:w="986"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2</w:t>
            </w:r>
          </w:p>
        </w:tc>
        <w:tc>
          <w:tcPr>
            <w:tcW w:w="1810"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土地使用权和矿业权出让</w:t>
            </w:r>
          </w:p>
        </w:tc>
        <w:tc>
          <w:tcPr>
            <w:tcW w:w="1029"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2.1</w:t>
            </w:r>
          </w:p>
        </w:tc>
        <w:tc>
          <w:tcPr>
            <w:tcW w:w="1805"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国有建设用地使用权出让</w:t>
            </w:r>
          </w:p>
        </w:tc>
        <w:tc>
          <w:tcPr>
            <w:tcW w:w="5161"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商业、办公、商品住宅等经营性用地出让，工业、研发等产业用地出让。</w:t>
            </w:r>
          </w:p>
        </w:tc>
        <w:tc>
          <w:tcPr>
            <w:tcW w:w="2933"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全部</w:t>
            </w:r>
          </w:p>
        </w:tc>
        <w:tc>
          <w:tcPr>
            <w:tcW w:w="2156"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市规划资源局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trPr>
        <w:tc>
          <w:tcPr>
            <w:tcW w:w="98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810"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029"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2.2</w:t>
            </w:r>
          </w:p>
        </w:tc>
        <w:tc>
          <w:tcPr>
            <w:tcW w:w="1805"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农村集体经营性建设用地使用权</w:t>
            </w:r>
          </w:p>
        </w:tc>
        <w:tc>
          <w:tcPr>
            <w:tcW w:w="5161"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农村集体经营性建设用地出让、租赁、作价入股等有偿使用。</w:t>
            </w:r>
          </w:p>
        </w:tc>
        <w:tc>
          <w:tcPr>
            <w:tcW w:w="2933"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全部</w:t>
            </w:r>
          </w:p>
        </w:tc>
        <w:tc>
          <w:tcPr>
            <w:tcW w:w="215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48" w:hRule="atLeast"/>
        </w:trPr>
        <w:tc>
          <w:tcPr>
            <w:tcW w:w="98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810"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029"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2.3</w:t>
            </w:r>
          </w:p>
        </w:tc>
        <w:tc>
          <w:tcPr>
            <w:tcW w:w="1805"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矿业权</w:t>
            </w:r>
          </w:p>
        </w:tc>
        <w:tc>
          <w:tcPr>
            <w:tcW w:w="5161"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探矿权出让、采矿权出让。</w:t>
            </w:r>
          </w:p>
        </w:tc>
        <w:tc>
          <w:tcPr>
            <w:tcW w:w="2933"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全部</w:t>
            </w:r>
          </w:p>
        </w:tc>
        <w:tc>
          <w:tcPr>
            <w:tcW w:w="215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8" w:hRule="atLeast"/>
        </w:trPr>
        <w:tc>
          <w:tcPr>
            <w:tcW w:w="986"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3</w:t>
            </w:r>
          </w:p>
        </w:tc>
        <w:tc>
          <w:tcPr>
            <w:tcW w:w="1810"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国有产权交易</w:t>
            </w:r>
          </w:p>
        </w:tc>
        <w:tc>
          <w:tcPr>
            <w:tcW w:w="1029"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3.1</w:t>
            </w:r>
          </w:p>
        </w:tc>
        <w:tc>
          <w:tcPr>
            <w:tcW w:w="1805"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国有及国有控股企业产权转让</w:t>
            </w:r>
          </w:p>
        </w:tc>
        <w:tc>
          <w:tcPr>
            <w:tcW w:w="5161"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履行出资人职责的机构、国有及国有控股企业、国有实际控制企业转让其对企业各种形式出资所形成权益的行为。</w:t>
            </w:r>
          </w:p>
        </w:tc>
        <w:tc>
          <w:tcPr>
            <w:tcW w:w="2933"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全部</w:t>
            </w:r>
          </w:p>
        </w:tc>
        <w:tc>
          <w:tcPr>
            <w:tcW w:w="2156"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trPr>
        <w:tc>
          <w:tcPr>
            <w:tcW w:w="98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810"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029"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3.2</w:t>
            </w:r>
          </w:p>
        </w:tc>
        <w:tc>
          <w:tcPr>
            <w:tcW w:w="1805"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国有及国有控股企业增资</w:t>
            </w:r>
          </w:p>
        </w:tc>
        <w:tc>
          <w:tcPr>
            <w:tcW w:w="5161"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国有及国有控股企业、国有实际控制企业增加资本的行为。</w:t>
            </w:r>
          </w:p>
        </w:tc>
        <w:tc>
          <w:tcPr>
            <w:tcW w:w="2933"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全部</w:t>
            </w:r>
          </w:p>
        </w:tc>
        <w:tc>
          <w:tcPr>
            <w:tcW w:w="215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trPr>
        <w:tc>
          <w:tcPr>
            <w:tcW w:w="98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810"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029"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3.3</w:t>
            </w:r>
          </w:p>
        </w:tc>
        <w:tc>
          <w:tcPr>
            <w:tcW w:w="1805"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国有及国有控股企业资产转让</w:t>
            </w:r>
          </w:p>
        </w:tc>
        <w:tc>
          <w:tcPr>
            <w:tcW w:w="5161"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国有及国有控股企业、国有实际控制企业的重大资产转让行为。</w:t>
            </w:r>
          </w:p>
        </w:tc>
        <w:tc>
          <w:tcPr>
            <w:tcW w:w="2933"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全部</w:t>
            </w:r>
          </w:p>
        </w:tc>
        <w:tc>
          <w:tcPr>
            <w:tcW w:w="215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986"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4</w:t>
            </w:r>
          </w:p>
        </w:tc>
        <w:tc>
          <w:tcPr>
            <w:tcW w:w="1810"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政府采购</w:t>
            </w:r>
          </w:p>
        </w:tc>
        <w:tc>
          <w:tcPr>
            <w:tcW w:w="1029"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4.1</w:t>
            </w:r>
          </w:p>
        </w:tc>
        <w:tc>
          <w:tcPr>
            <w:tcW w:w="1805"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货物类</w:t>
            </w:r>
          </w:p>
        </w:tc>
        <w:tc>
          <w:tcPr>
            <w:tcW w:w="516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国家机关、事业单位和团体组织使用财政性资金采购依法制定的集中采购目录以内的或者采购限额标准以上的工程、货物及服务（适用招标投标法的政府采购工程招投标项目除外）。</w:t>
            </w:r>
          </w:p>
        </w:tc>
        <w:tc>
          <w:tcPr>
            <w:tcW w:w="2933" w:type="dxa"/>
            <w:vMerge w:val="restart"/>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本市政府采购限额标准为100万元。</w:t>
            </w:r>
          </w:p>
        </w:tc>
        <w:tc>
          <w:tcPr>
            <w:tcW w:w="2156"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26" w:hRule="atLeast"/>
        </w:trPr>
        <w:tc>
          <w:tcPr>
            <w:tcW w:w="98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810"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029"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4.2</w:t>
            </w:r>
          </w:p>
        </w:tc>
        <w:tc>
          <w:tcPr>
            <w:tcW w:w="1805"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工程类</w:t>
            </w:r>
          </w:p>
        </w:tc>
        <w:tc>
          <w:tcPr>
            <w:tcW w:w="5161" w:type="dxa"/>
            <w:vMerge w:val="continue"/>
          </w:tcPr>
          <w:p>
            <w:pPr>
              <w:jc w:val="both"/>
              <w:rPr>
                <w:rFonts w:hint="default" w:ascii="Times New Roman" w:hAnsi="Times New Roman" w:eastAsia="仿宋" w:cs="Times New Roman"/>
                <w:sz w:val="24"/>
                <w:szCs w:val="24"/>
                <w:vertAlign w:val="baseline"/>
                <w:lang w:val="en-US" w:eastAsia="zh-CN"/>
              </w:rPr>
            </w:pPr>
          </w:p>
        </w:tc>
        <w:tc>
          <w:tcPr>
            <w:tcW w:w="2933" w:type="dxa"/>
            <w:vMerge w:val="continue"/>
          </w:tcPr>
          <w:p>
            <w:pPr>
              <w:jc w:val="both"/>
              <w:rPr>
                <w:rFonts w:hint="default" w:ascii="Times New Roman" w:hAnsi="Times New Roman" w:eastAsia="仿宋" w:cs="Times New Roman"/>
                <w:sz w:val="24"/>
                <w:szCs w:val="24"/>
                <w:vertAlign w:val="baseline"/>
                <w:lang w:val="en-US" w:eastAsia="zh-CN"/>
              </w:rPr>
            </w:pPr>
          </w:p>
        </w:tc>
        <w:tc>
          <w:tcPr>
            <w:tcW w:w="215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98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810"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029"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4.3</w:t>
            </w:r>
          </w:p>
        </w:tc>
        <w:tc>
          <w:tcPr>
            <w:tcW w:w="1805"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服务类</w:t>
            </w:r>
          </w:p>
        </w:tc>
        <w:tc>
          <w:tcPr>
            <w:tcW w:w="5161" w:type="dxa"/>
            <w:vMerge w:val="continue"/>
          </w:tcPr>
          <w:p>
            <w:pPr>
              <w:jc w:val="both"/>
              <w:rPr>
                <w:rFonts w:hint="default" w:ascii="Times New Roman" w:hAnsi="Times New Roman" w:eastAsia="仿宋" w:cs="Times New Roman"/>
                <w:sz w:val="24"/>
                <w:szCs w:val="24"/>
                <w:vertAlign w:val="baseline"/>
                <w:lang w:val="en-US" w:eastAsia="zh-CN"/>
              </w:rPr>
            </w:pPr>
          </w:p>
        </w:tc>
        <w:tc>
          <w:tcPr>
            <w:tcW w:w="2933" w:type="dxa"/>
            <w:vMerge w:val="continue"/>
          </w:tcPr>
          <w:p>
            <w:pPr>
              <w:jc w:val="both"/>
              <w:rPr>
                <w:rFonts w:hint="default" w:ascii="Times New Roman" w:hAnsi="Times New Roman" w:eastAsia="仿宋" w:cs="Times New Roman"/>
                <w:sz w:val="24"/>
                <w:szCs w:val="24"/>
                <w:vertAlign w:val="baseline"/>
                <w:lang w:val="en-US" w:eastAsia="zh-CN"/>
              </w:rPr>
            </w:pPr>
          </w:p>
        </w:tc>
        <w:tc>
          <w:tcPr>
            <w:tcW w:w="215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986"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5</w:t>
            </w:r>
          </w:p>
        </w:tc>
        <w:tc>
          <w:tcPr>
            <w:tcW w:w="1810"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用水权交易</w:t>
            </w:r>
          </w:p>
        </w:tc>
        <w:tc>
          <w:tcPr>
            <w:tcW w:w="1029"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5.1</w:t>
            </w:r>
          </w:p>
        </w:tc>
        <w:tc>
          <w:tcPr>
            <w:tcW w:w="1805"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水权交易和水能源开发利用权</w:t>
            </w:r>
          </w:p>
        </w:tc>
        <w:tc>
          <w:tcPr>
            <w:tcW w:w="5161"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地表水、地下水。</w:t>
            </w:r>
          </w:p>
        </w:tc>
        <w:tc>
          <w:tcPr>
            <w:tcW w:w="2933"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全部</w:t>
            </w:r>
          </w:p>
        </w:tc>
        <w:tc>
          <w:tcPr>
            <w:tcW w:w="2156"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市水务局</w:t>
            </w:r>
          </w:p>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（海洋局）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5" w:hRule="atLeast"/>
        </w:trPr>
        <w:tc>
          <w:tcPr>
            <w:tcW w:w="986"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6</w:t>
            </w:r>
          </w:p>
        </w:tc>
        <w:tc>
          <w:tcPr>
            <w:tcW w:w="1810"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技术和知识产权交易</w:t>
            </w:r>
          </w:p>
        </w:tc>
        <w:tc>
          <w:tcPr>
            <w:tcW w:w="1029"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6.1</w:t>
            </w:r>
          </w:p>
        </w:tc>
        <w:tc>
          <w:tcPr>
            <w:tcW w:w="1805"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技术交易</w:t>
            </w:r>
          </w:p>
        </w:tc>
        <w:tc>
          <w:tcPr>
            <w:tcW w:w="5161"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企业、事业单位获得财政资金支持的科技成果交易、技术服务交易;科研事业单位职务科技成果交易、技术服务、科普成果、技术标准交易（含技术转让、技术许可、技术作价入股、技术服务采购、技术合作开发等）；政府相关部门组织的技术成果转让、技术成果推广、技术成果供需对接等非关系到国家经济安全、国防安全和国家秘密的科技成果。</w:t>
            </w:r>
          </w:p>
        </w:tc>
        <w:tc>
          <w:tcPr>
            <w:tcW w:w="2933"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全部</w:t>
            </w:r>
          </w:p>
        </w:tc>
        <w:tc>
          <w:tcPr>
            <w:tcW w:w="2156"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98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810"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029"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6.2</w:t>
            </w:r>
          </w:p>
        </w:tc>
        <w:tc>
          <w:tcPr>
            <w:tcW w:w="1805"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知识产权交易</w:t>
            </w:r>
          </w:p>
        </w:tc>
        <w:tc>
          <w:tcPr>
            <w:tcW w:w="5161"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企业、事业单位国有知识产权项目（含专利权转让，商标所有权、使用权转让，其他知识产权转让等），政府相关部门组织的专利技术转让、其他知识产权转让等国有技术产权交易项目。</w:t>
            </w:r>
          </w:p>
        </w:tc>
        <w:tc>
          <w:tcPr>
            <w:tcW w:w="2933"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全部</w:t>
            </w:r>
          </w:p>
        </w:tc>
        <w:tc>
          <w:tcPr>
            <w:tcW w:w="2156"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71" w:hRule="atLeast"/>
        </w:trPr>
        <w:tc>
          <w:tcPr>
            <w:tcW w:w="986"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7</w:t>
            </w:r>
          </w:p>
        </w:tc>
        <w:tc>
          <w:tcPr>
            <w:tcW w:w="1810"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文化产权交易</w:t>
            </w:r>
          </w:p>
        </w:tc>
        <w:tc>
          <w:tcPr>
            <w:tcW w:w="1029"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7.1</w:t>
            </w:r>
          </w:p>
        </w:tc>
        <w:tc>
          <w:tcPr>
            <w:tcW w:w="1805"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文化企业国有产权交易</w:t>
            </w:r>
          </w:p>
        </w:tc>
        <w:tc>
          <w:tcPr>
            <w:tcW w:w="5161"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本市宣传文化系统国有企业产权交易。</w:t>
            </w:r>
          </w:p>
        </w:tc>
        <w:tc>
          <w:tcPr>
            <w:tcW w:w="2933"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全部</w:t>
            </w:r>
          </w:p>
        </w:tc>
        <w:tc>
          <w:tcPr>
            <w:tcW w:w="2156"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trPr>
        <w:tc>
          <w:tcPr>
            <w:tcW w:w="986"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8</w:t>
            </w:r>
          </w:p>
        </w:tc>
        <w:tc>
          <w:tcPr>
            <w:tcW w:w="1810"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涉农产权流转交易</w:t>
            </w:r>
          </w:p>
        </w:tc>
        <w:tc>
          <w:tcPr>
            <w:tcW w:w="1029" w:type="dxa"/>
            <w:vAlign w:val="center"/>
          </w:tcPr>
          <w:p>
            <w:pPr>
              <w:spacing w:before="91" w:line="184" w:lineRule="auto"/>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color w:val="000000"/>
                <w:sz w:val="24"/>
                <w:szCs w:val="28"/>
                <w:lang w:val="en-US" w:eastAsia="zh-CN"/>
              </w:rPr>
              <w:t>8.1</w:t>
            </w:r>
          </w:p>
        </w:tc>
        <w:tc>
          <w:tcPr>
            <w:tcW w:w="1805" w:type="dxa"/>
            <w:vAlign w:val="center"/>
          </w:tcPr>
          <w:p>
            <w:pPr>
              <w:spacing w:before="91" w:line="221" w:lineRule="auto"/>
              <w:jc w:val="center"/>
              <w:rPr>
                <w:rFonts w:hint="default" w:ascii="Times New Roman" w:hAnsi="Times New Roman" w:eastAsia="仿宋" w:cs="Times New Roman"/>
                <w:color w:val="000000"/>
                <w:sz w:val="24"/>
                <w:szCs w:val="28"/>
                <w:lang w:val="en-US" w:eastAsia="zh-CN"/>
              </w:rPr>
            </w:pPr>
            <w:r>
              <w:rPr>
                <w:rFonts w:hint="default" w:ascii="Times New Roman" w:hAnsi="Times New Roman" w:eastAsia="仿宋" w:cs="Times New Roman"/>
                <w:color w:val="000000"/>
                <w:sz w:val="24"/>
                <w:szCs w:val="28"/>
                <w:lang w:val="en-US" w:eastAsia="zh-CN"/>
              </w:rPr>
              <w:t>农村承包土地经营权</w:t>
            </w:r>
          </w:p>
        </w:tc>
        <w:tc>
          <w:tcPr>
            <w:tcW w:w="5161" w:type="dxa"/>
            <w:vAlign w:val="center"/>
          </w:tcPr>
          <w:p>
            <w:pPr>
              <w:spacing w:before="91" w:line="221" w:lineRule="auto"/>
              <w:jc w:val="left"/>
              <w:rPr>
                <w:rFonts w:hint="default" w:ascii="Times New Roman" w:hAnsi="Times New Roman" w:eastAsia="仿宋" w:cs="Times New Roman"/>
                <w:color w:val="000000"/>
                <w:sz w:val="24"/>
                <w:szCs w:val="28"/>
                <w:lang w:val="en-US" w:eastAsia="zh-CN"/>
              </w:rPr>
            </w:pPr>
            <w:r>
              <w:rPr>
                <w:rFonts w:hint="default" w:ascii="Times New Roman" w:hAnsi="Times New Roman" w:eastAsia="仿宋" w:cs="Times New Roman"/>
                <w:color w:val="000000"/>
                <w:sz w:val="24"/>
                <w:szCs w:val="28"/>
                <w:lang w:val="en-US" w:eastAsia="zh-CN"/>
              </w:rPr>
              <w:t>以家庭承包方式承包的耕地、养殖水面等经营权，可采取出租、入股等方式流转交易。</w:t>
            </w:r>
          </w:p>
        </w:tc>
        <w:tc>
          <w:tcPr>
            <w:tcW w:w="2933" w:type="dxa"/>
            <w:vMerge w:val="restart"/>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napToGrid w:val="0"/>
                <w:color w:val="000000"/>
                <w:kern w:val="0"/>
                <w:sz w:val="24"/>
                <w:szCs w:val="28"/>
                <w:lang w:val="en-US" w:eastAsia="zh-CN" w:bidi="ar-SA"/>
              </w:rPr>
              <w:t>涉及农村集体资产、资源和财政投入形成的农村产权，以及农户委托村集体代为流转的土地承包经营权。</w:t>
            </w:r>
          </w:p>
        </w:tc>
        <w:tc>
          <w:tcPr>
            <w:tcW w:w="2156"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9" w:hRule="atLeast"/>
        </w:trPr>
        <w:tc>
          <w:tcPr>
            <w:tcW w:w="98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810"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029" w:type="dxa"/>
            <w:vAlign w:val="center"/>
          </w:tcPr>
          <w:p>
            <w:pPr>
              <w:spacing w:before="91" w:line="184" w:lineRule="auto"/>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color w:val="000000"/>
                <w:sz w:val="24"/>
                <w:szCs w:val="28"/>
                <w:lang w:val="en-US" w:eastAsia="zh-CN"/>
              </w:rPr>
              <w:t>8.2</w:t>
            </w:r>
          </w:p>
        </w:tc>
        <w:tc>
          <w:tcPr>
            <w:tcW w:w="1805" w:type="dxa"/>
            <w:vAlign w:val="center"/>
          </w:tcPr>
          <w:p>
            <w:pPr>
              <w:spacing w:before="91" w:line="221" w:lineRule="auto"/>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color w:val="000000"/>
                <w:sz w:val="24"/>
                <w:szCs w:val="28"/>
                <w:lang w:val="en-US" w:eastAsia="zh-CN"/>
              </w:rPr>
              <w:t>农村集体资源性资产经营权</w:t>
            </w:r>
          </w:p>
        </w:tc>
        <w:tc>
          <w:tcPr>
            <w:tcW w:w="5161" w:type="dxa"/>
            <w:vAlign w:val="center"/>
          </w:tcPr>
          <w:p>
            <w:pPr>
              <w:spacing w:before="91" w:line="221" w:lineRule="auto"/>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color w:val="000000"/>
                <w:sz w:val="24"/>
                <w:szCs w:val="28"/>
                <w:lang w:val="en-US" w:eastAsia="zh-CN"/>
              </w:rPr>
              <w:t>农村集体所有的林地、农田水利用地、养殖水面等资源性资产经营权，可采取出租、转让、入股、作价出资或合作等方式流转交易。农村集体所有耕地的经营权，可采取出租、入股等方式流转交易。</w:t>
            </w:r>
          </w:p>
        </w:tc>
        <w:tc>
          <w:tcPr>
            <w:tcW w:w="2933" w:type="dxa"/>
            <w:vMerge w:val="continue"/>
            <w:vAlign w:val="center"/>
          </w:tcPr>
          <w:p>
            <w:pPr>
              <w:jc w:val="both"/>
              <w:rPr>
                <w:rFonts w:hint="default" w:ascii="Times New Roman" w:hAnsi="Times New Roman" w:eastAsia="仿宋" w:cs="Times New Roman"/>
                <w:sz w:val="24"/>
                <w:szCs w:val="24"/>
                <w:vertAlign w:val="baseline"/>
                <w:lang w:val="en-US" w:eastAsia="zh-CN"/>
              </w:rPr>
            </w:pPr>
          </w:p>
        </w:tc>
        <w:tc>
          <w:tcPr>
            <w:tcW w:w="215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0" w:hRule="atLeast"/>
        </w:trPr>
        <w:tc>
          <w:tcPr>
            <w:tcW w:w="98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810"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029" w:type="dxa"/>
            <w:vAlign w:val="center"/>
          </w:tcPr>
          <w:p>
            <w:pPr>
              <w:spacing w:before="91" w:line="184" w:lineRule="auto"/>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color w:val="000000"/>
                <w:sz w:val="24"/>
                <w:szCs w:val="28"/>
                <w:lang w:val="en-US" w:eastAsia="zh-CN"/>
              </w:rPr>
              <w:t>8.3</w:t>
            </w:r>
          </w:p>
        </w:tc>
        <w:tc>
          <w:tcPr>
            <w:tcW w:w="1805" w:type="dxa"/>
            <w:vAlign w:val="center"/>
          </w:tcPr>
          <w:p>
            <w:pPr>
              <w:spacing w:before="91" w:line="221" w:lineRule="auto"/>
              <w:jc w:val="center"/>
              <w:rPr>
                <w:rFonts w:hint="default" w:ascii="Times New Roman" w:hAnsi="Times New Roman" w:eastAsia="仿宋" w:cs="Times New Roman"/>
                <w:color w:val="000000"/>
                <w:sz w:val="24"/>
                <w:szCs w:val="28"/>
                <w:lang w:val="en-US" w:eastAsia="zh-CN"/>
              </w:rPr>
            </w:pPr>
            <w:r>
              <w:rPr>
                <w:rFonts w:hint="default" w:ascii="Times New Roman" w:hAnsi="Times New Roman" w:eastAsia="仿宋" w:cs="Times New Roman"/>
                <w:color w:val="000000"/>
                <w:sz w:val="24"/>
                <w:szCs w:val="28"/>
                <w:lang w:val="en-US" w:eastAsia="zh-CN"/>
              </w:rPr>
              <w:t>农村集体经营性资产</w:t>
            </w:r>
          </w:p>
        </w:tc>
        <w:tc>
          <w:tcPr>
            <w:tcW w:w="5161" w:type="dxa"/>
            <w:vAlign w:val="center"/>
          </w:tcPr>
          <w:p>
            <w:pPr>
              <w:spacing w:before="91" w:line="221" w:lineRule="auto"/>
              <w:jc w:val="both"/>
              <w:rPr>
                <w:rFonts w:hint="default" w:ascii="Times New Roman" w:hAnsi="Times New Roman" w:eastAsia="仿宋" w:cs="Times New Roman"/>
                <w:color w:val="000000"/>
                <w:sz w:val="24"/>
                <w:szCs w:val="28"/>
                <w:lang w:val="en-US" w:eastAsia="zh-CN"/>
              </w:rPr>
            </w:pPr>
            <w:r>
              <w:rPr>
                <w:rFonts w:hint="default" w:ascii="Times New Roman" w:hAnsi="Times New Roman" w:eastAsia="仿宋" w:cs="Times New Roman"/>
                <w:color w:val="000000"/>
                <w:sz w:val="24"/>
                <w:szCs w:val="28"/>
                <w:lang w:val="en-US" w:eastAsia="zh-CN"/>
              </w:rPr>
              <w:t>由农村集体经营的物业资产（不含土地）所有权或使用权，可以采取承包、租赁、出让、入股、合资、合作等方式流转交易。农村集体经济组织及其集体企业所持公司股权，可以采取转让方式流转交易。农村集体经营性建设用地使用权，可以采取出租、作价入股等方式流转交易。</w:t>
            </w:r>
          </w:p>
        </w:tc>
        <w:tc>
          <w:tcPr>
            <w:tcW w:w="2933" w:type="dxa"/>
            <w:vMerge w:val="continue"/>
            <w:vAlign w:val="center"/>
          </w:tcPr>
          <w:p>
            <w:pPr>
              <w:jc w:val="both"/>
              <w:rPr>
                <w:rFonts w:hint="default" w:ascii="Times New Roman" w:hAnsi="Times New Roman" w:eastAsia="仿宋" w:cs="Times New Roman"/>
                <w:sz w:val="24"/>
                <w:szCs w:val="24"/>
                <w:vertAlign w:val="baseline"/>
                <w:lang w:val="en-US" w:eastAsia="zh-CN"/>
              </w:rPr>
            </w:pPr>
          </w:p>
        </w:tc>
        <w:tc>
          <w:tcPr>
            <w:tcW w:w="215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7" w:hRule="atLeast"/>
        </w:trPr>
        <w:tc>
          <w:tcPr>
            <w:tcW w:w="98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810"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029" w:type="dxa"/>
            <w:vAlign w:val="center"/>
          </w:tcPr>
          <w:p>
            <w:pPr>
              <w:spacing w:before="91" w:line="184" w:lineRule="auto"/>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color w:val="000000"/>
                <w:sz w:val="24"/>
                <w:szCs w:val="28"/>
                <w:lang w:val="en-US" w:eastAsia="zh-CN"/>
              </w:rPr>
              <w:t>8.4</w:t>
            </w:r>
          </w:p>
        </w:tc>
        <w:tc>
          <w:tcPr>
            <w:tcW w:w="1805" w:type="dxa"/>
            <w:vAlign w:val="center"/>
          </w:tcPr>
          <w:p>
            <w:pPr>
              <w:spacing w:before="91" w:line="221" w:lineRule="auto"/>
              <w:jc w:val="center"/>
              <w:rPr>
                <w:rFonts w:hint="default" w:ascii="Times New Roman" w:hAnsi="Times New Roman" w:eastAsia="仿宋" w:cs="Times New Roman"/>
                <w:color w:val="000000"/>
                <w:sz w:val="24"/>
                <w:szCs w:val="28"/>
                <w:lang w:val="en-US" w:eastAsia="zh-CN"/>
              </w:rPr>
            </w:pPr>
            <w:r>
              <w:rPr>
                <w:rFonts w:hint="default" w:ascii="Times New Roman" w:hAnsi="Times New Roman" w:eastAsia="仿宋" w:cs="Times New Roman"/>
                <w:color w:val="000000"/>
                <w:sz w:val="24"/>
                <w:szCs w:val="28"/>
                <w:lang w:val="en-US" w:eastAsia="zh-CN"/>
              </w:rPr>
              <w:t>农村工程项目、货物和服务采购、招商</w:t>
            </w:r>
          </w:p>
        </w:tc>
        <w:tc>
          <w:tcPr>
            <w:tcW w:w="5161" w:type="dxa"/>
            <w:vAlign w:val="center"/>
          </w:tcPr>
          <w:p>
            <w:pPr>
              <w:spacing w:before="91" w:line="221" w:lineRule="auto"/>
              <w:jc w:val="both"/>
              <w:rPr>
                <w:rFonts w:hint="default" w:ascii="Times New Roman" w:hAnsi="Times New Roman" w:eastAsia="仿宋" w:cs="Times New Roman"/>
                <w:color w:val="000000"/>
                <w:sz w:val="24"/>
                <w:szCs w:val="28"/>
                <w:lang w:val="en-US" w:eastAsia="zh-CN"/>
              </w:rPr>
            </w:pPr>
            <w:r>
              <w:rPr>
                <w:rFonts w:hint="default" w:ascii="Times New Roman" w:hAnsi="Times New Roman" w:eastAsia="仿宋" w:cs="Times New Roman"/>
                <w:color w:val="000000"/>
                <w:sz w:val="24"/>
                <w:szCs w:val="28"/>
                <w:lang w:val="en-US" w:eastAsia="zh-CN"/>
              </w:rPr>
              <w:t>农村集体经济组织及其集体企业使用自有资金，进行农村建设项目、货物和服务采购、产业项目招商和转让等，可以采取综合评议、公开招标方式交易。</w:t>
            </w:r>
          </w:p>
        </w:tc>
        <w:tc>
          <w:tcPr>
            <w:tcW w:w="2933" w:type="dxa"/>
            <w:vMerge w:val="continue"/>
            <w:vAlign w:val="center"/>
          </w:tcPr>
          <w:p>
            <w:pPr>
              <w:jc w:val="both"/>
              <w:rPr>
                <w:rFonts w:hint="default" w:ascii="Times New Roman" w:hAnsi="Times New Roman" w:eastAsia="仿宋" w:cs="Times New Roman"/>
                <w:sz w:val="24"/>
                <w:szCs w:val="24"/>
                <w:vertAlign w:val="baseline"/>
                <w:lang w:val="en-US" w:eastAsia="zh-CN"/>
              </w:rPr>
            </w:pPr>
          </w:p>
        </w:tc>
        <w:tc>
          <w:tcPr>
            <w:tcW w:w="215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09" w:hRule="atLeast"/>
        </w:trPr>
        <w:tc>
          <w:tcPr>
            <w:tcW w:w="98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810"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029" w:type="dxa"/>
            <w:vAlign w:val="center"/>
          </w:tcPr>
          <w:p>
            <w:pPr>
              <w:spacing w:before="91" w:line="184" w:lineRule="auto"/>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color w:val="000000"/>
                <w:sz w:val="24"/>
                <w:szCs w:val="28"/>
                <w:lang w:val="en-US" w:eastAsia="zh-CN"/>
              </w:rPr>
              <w:t>8.5</w:t>
            </w:r>
          </w:p>
        </w:tc>
        <w:tc>
          <w:tcPr>
            <w:tcW w:w="1805" w:type="dxa"/>
            <w:vAlign w:val="center"/>
          </w:tcPr>
          <w:p>
            <w:pPr>
              <w:spacing w:before="91" w:line="221" w:lineRule="auto"/>
              <w:jc w:val="center"/>
              <w:rPr>
                <w:rFonts w:hint="default" w:ascii="Times New Roman" w:hAnsi="Times New Roman" w:eastAsia="仿宋" w:cs="Times New Roman"/>
                <w:color w:val="000000"/>
                <w:sz w:val="24"/>
                <w:szCs w:val="28"/>
                <w:lang w:val="en-US" w:eastAsia="zh-CN"/>
              </w:rPr>
            </w:pPr>
            <w:r>
              <w:rPr>
                <w:rFonts w:hint="default" w:ascii="Times New Roman" w:hAnsi="Times New Roman" w:eastAsia="仿宋" w:cs="Times New Roman"/>
                <w:color w:val="000000"/>
                <w:sz w:val="24"/>
                <w:szCs w:val="28"/>
                <w:lang w:val="en-US" w:eastAsia="zh-CN"/>
              </w:rPr>
              <w:t>农业生产设施设备</w:t>
            </w:r>
          </w:p>
        </w:tc>
        <w:tc>
          <w:tcPr>
            <w:tcW w:w="5161" w:type="dxa"/>
            <w:vAlign w:val="center"/>
          </w:tcPr>
          <w:p>
            <w:pPr>
              <w:spacing w:before="91" w:line="221" w:lineRule="auto"/>
              <w:jc w:val="both"/>
              <w:rPr>
                <w:rFonts w:hint="default" w:ascii="Times New Roman" w:hAnsi="Times New Roman" w:eastAsia="仿宋" w:cs="Times New Roman"/>
                <w:color w:val="000000"/>
                <w:sz w:val="24"/>
                <w:szCs w:val="28"/>
                <w:lang w:val="en-US" w:eastAsia="zh-CN"/>
              </w:rPr>
            </w:pPr>
            <w:r>
              <w:rPr>
                <w:rFonts w:hint="default" w:ascii="Times New Roman" w:hAnsi="Times New Roman" w:eastAsia="仿宋" w:cs="Times New Roman"/>
                <w:color w:val="000000"/>
                <w:sz w:val="24"/>
                <w:szCs w:val="28"/>
                <w:lang w:val="en-US" w:eastAsia="zh-CN"/>
              </w:rPr>
              <w:t>农村集体经济组织及其集体企业、农户、农民专业合作社和涉农企业等拥有的农业生产设施设备，可以采取转让、租赁、拍卖等方式流转交易。</w:t>
            </w:r>
          </w:p>
        </w:tc>
        <w:tc>
          <w:tcPr>
            <w:tcW w:w="2933" w:type="dxa"/>
            <w:vMerge w:val="continue"/>
            <w:vAlign w:val="center"/>
          </w:tcPr>
          <w:p>
            <w:pPr>
              <w:jc w:val="both"/>
              <w:rPr>
                <w:rFonts w:hint="default" w:ascii="Times New Roman" w:hAnsi="Times New Roman" w:eastAsia="仿宋" w:cs="Times New Roman"/>
                <w:sz w:val="24"/>
                <w:szCs w:val="24"/>
                <w:vertAlign w:val="baseline"/>
                <w:lang w:val="en-US" w:eastAsia="zh-CN"/>
              </w:rPr>
            </w:pPr>
          </w:p>
        </w:tc>
        <w:tc>
          <w:tcPr>
            <w:tcW w:w="215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1" w:hRule="atLeast"/>
        </w:trPr>
        <w:tc>
          <w:tcPr>
            <w:tcW w:w="98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810"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029" w:type="dxa"/>
            <w:vAlign w:val="center"/>
          </w:tcPr>
          <w:p>
            <w:pPr>
              <w:spacing w:before="91" w:line="184" w:lineRule="auto"/>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color w:val="000000"/>
                <w:sz w:val="24"/>
                <w:szCs w:val="28"/>
                <w:lang w:val="en-US" w:eastAsia="zh-CN"/>
              </w:rPr>
              <w:t>8.6</w:t>
            </w:r>
          </w:p>
        </w:tc>
        <w:tc>
          <w:tcPr>
            <w:tcW w:w="1805" w:type="dxa"/>
            <w:vAlign w:val="center"/>
          </w:tcPr>
          <w:p>
            <w:pPr>
              <w:spacing w:before="223" w:line="257" w:lineRule="auto"/>
              <w:ind w:right="3" w:rightChars="0"/>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color w:val="000000"/>
                <w:sz w:val="24"/>
                <w:szCs w:val="28"/>
                <w:lang w:val="en-US" w:eastAsia="zh-CN"/>
              </w:rPr>
              <w:t>小型水利设施使用权</w:t>
            </w:r>
          </w:p>
        </w:tc>
        <w:tc>
          <w:tcPr>
            <w:tcW w:w="5161" w:type="dxa"/>
            <w:vAlign w:val="center"/>
          </w:tcPr>
          <w:p>
            <w:pPr>
              <w:spacing w:before="223" w:line="257" w:lineRule="auto"/>
              <w:ind w:right="3" w:rightChars="0"/>
              <w:jc w:val="left"/>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color w:val="000000"/>
                <w:sz w:val="24"/>
                <w:szCs w:val="28"/>
                <w:lang w:val="en-US" w:eastAsia="zh-CN"/>
              </w:rPr>
              <w:t>农村集体经济组织及其集体企业、农户、家庭农场、农民专业合作社和涉农企业等拥有的小型水利设施使用权，可以采取承包、租赁、转让、抵押、股份合作等方式流转交易。</w:t>
            </w:r>
          </w:p>
        </w:tc>
        <w:tc>
          <w:tcPr>
            <w:tcW w:w="2933" w:type="dxa"/>
            <w:vMerge w:val="continue"/>
            <w:vAlign w:val="center"/>
          </w:tcPr>
          <w:p>
            <w:pPr>
              <w:jc w:val="both"/>
              <w:rPr>
                <w:rFonts w:hint="default" w:ascii="Times New Roman" w:hAnsi="Times New Roman" w:eastAsia="仿宋" w:cs="Times New Roman"/>
                <w:sz w:val="24"/>
                <w:szCs w:val="24"/>
                <w:vertAlign w:val="baseline"/>
                <w:lang w:val="en-US" w:eastAsia="zh-CN"/>
              </w:rPr>
            </w:pPr>
          </w:p>
        </w:tc>
        <w:tc>
          <w:tcPr>
            <w:tcW w:w="2156"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trPr>
        <w:tc>
          <w:tcPr>
            <w:tcW w:w="98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810"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029" w:type="dxa"/>
            <w:vAlign w:val="center"/>
          </w:tcPr>
          <w:p>
            <w:pPr>
              <w:spacing w:before="91" w:line="184" w:lineRule="auto"/>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color w:val="000000"/>
                <w:sz w:val="24"/>
                <w:szCs w:val="28"/>
                <w:lang w:val="en-US" w:eastAsia="zh-CN"/>
              </w:rPr>
              <w:t>8.7</w:t>
            </w:r>
          </w:p>
        </w:tc>
        <w:tc>
          <w:tcPr>
            <w:tcW w:w="1805" w:type="dxa"/>
            <w:vAlign w:val="center"/>
          </w:tcPr>
          <w:p>
            <w:pPr>
              <w:spacing w:before="223" w:line="257" w:lineRule="auto"/>
              <w:ind w:right="3" w:rightChars="0"/>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color w:val="000000"/>
                <w:sz w:val="24"/>
                <w:szCs w:val="28"/>
                <w:lang w:val="en-US" w:eastAsia="zh-CN"/>
              </w:rPr>
              <w:t>农业类知识产权</w:t>
            </w:r>
          </w:p>
        </w:tc>
        <w:tc>
          <w:tcPr>
            <w:tcW w:w="5161" w:type="dxa"/>
            <w:vAlign w:val="center"/>
          </w:tcPr>
          <w:p>
            <w:pPr>
              <w:spacing w:before="223" w:line="257" w:lineRule="auto"/>
              <w:ind w:right="3" w:rightChars="0"/>
              <w:jc w:val="left"/>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color w:val="000000"/>
                <w:sz w:val="24"/>
                <w:szCs w:val="28"/>
                <w:lang w:val="en-US" w:eastAsia="zh-CN"/>
              </w:rPr>
              <w:t>涉农专利、商标、版权、新品种、新技术等农业类知识产权，可以采取转让、许可、出租、股份合作等方式流转交易。</w:t>
            </w:r>
          </w:p>
        </w:tc>
        <w:tc>
          <w:tcPr>
            <w:tcW w:w="2933" w:type="dxa"/>
            <w:vMerge w:val="continue"/>
            <w:vAlign w:val="center"/>
          </w:tcPr>
          <w:p>
            <w:pPr>
              <w:jc w:val="both"/>
              <w:rPr>
                <w:rFonts w:hint="default" w:ascii="Times New Roman" w:hAnsi="Times New Roman" w:eastAsia="仿宋" w:cs="Times New Roman"/>
                <w:sz w:val="24"/>
                <w:szCs w:val="24"/>
                <w:vertAlign w:val="baseline"/>
                <w:lang w:val="en-US" w:eastAsia="zh-CN"/>
              </w:rPr>
            </w:pPr>
          </w:p>
        </w:tc>
        <w:tc>
          <w:tcPr>
            <w:tcW w:w="215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trPr>
        <w:tc>
          <w:tcPr>
            <w:tcW w:w="98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810"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029" w:type="dxa"/>
            <w:vAlign w:val="center"/>
          </w:tcPr>
          <w:p>
            <w:pPr>
              <w:spacing w:before="91" w:line="184" w:lineRule="auto"/>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color w:val="000000"/>
                <w:sz w:val="24"/>
                <w:szCs w:val="28"/>
                <w:lang w:val="en-US" w:eastAsia="zh-CN"/>
              </w:rPr>
              <w:t>8.8</w:t>
            </w:r>
          </w:p>
        </w:tc>
        <w:tc>
          <w:tcPr>
            <w:tcW w:w="1805" w:type="dxa"/>
            <w:vAlign w:val="center"/>
          </w:tcPr>
          <w:p>
            <w:pPr>
              <w:spacing w:before="223" w:line="257" w:lineRule="auto"/>
              <w:ind w:right="3" w:rightChars="0"/>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color w:val="000000"/>
                <w:sz w:val="24"/>
                <w:szCs w:val="28"/>
                <w:lang w:val="en-US" w:eastAsia="zh-CN"/>
              </w:rPr>
              <w:t>其它类涉农品种</w:t>
            </w:r>
          </w:p>
        </w:tc>
        <w:tc>
          <w:tcPr>
            <w:tcW w:w="5161" w:type="dxa"/>
            <w:vAlign w:val="center"/>
          </w:tcPr>
          <w:p>
            <w:pPr>
              <w:spacing w:before="223" w:line="257" w:lineRule="auto"/>
              <w:ind w:right="3" w:rightChars="0"/>
              <w:jc w:val="left"/>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color w:val="000000"/>
                <w:sz w:val="24"/>
                <w:szCs w:val="28"/>
                <w:lang w:val="en-US" w:eastAsia="zh-CN"/>
              </w:rPr>
              <w:t>涉农资产处置，可以根据实际情况选择流转交易方式。农村集体经济组织成员持有的份额，可以采取内部转让方式流转交易。</w:t>
            </w:r>
          </w:p>
        </w:tc>
        <w:tc>
          <w:tcPr>
            <w:tcW w:w="2933" w:type="dxa"/>
            <w:vMerge w:val="continue"/>
            <w:vAlign w:val="center"/>
          </w:tcPr>
          <w:p>
            <w:pPr>
              <w:jc w:val="both"/>
              <w:rPr>
                <w:rFonts w:hint="default" w:ascii="Times New Roman" w:hAnsi="Times New Roman" w:eastAsia="仿宋" w:cs="Times New Roman"/>
                <w:sz w:val="24"/>
                <w:szCs w:val="24"/>
                <w:vertAlign w:val="baseline"/>
                <w:lang w:val="en-US" w:eastAsia="zh-CN"/>
              </w:rPr>
            </w:pPr>
          </w:p>
        </w:tc>
        <w:tc>
          <w:tcPr>
            <w:tcW w:w="215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1" w:hRule="atLeast"/>
        </w:trPr>
        <w:tc>
          <w:tcPr>
            <w:tcW w:w="986"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9</w:t>
            </w:r>
          </w:p>
        </w:tc>
        <w:tc>
          <w:tcPr>
            <w:tcW w:w="1810"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碳排放权</w:t>
            </w:r>
            <w:r>
              <w:rPr>
                <w:rFonts w:hint="eastAsia" w:ascii="Times New Roman" w:hAnsi="Times New Roman" w:eastAsia="仿宋" w:cs="Times New Roman"/>
                <w:sz w:val="24"/>
                <w:szCs w:val="24"/>
                <w:vertAlign w:val="baseline"/>
                <w:lang w:val="en-US" w:eastAsia="zh-CN"/>
              </w:rPr>
              <w:t>交易</w:t>
            </w:r>
          </w:p>
        </w:tc>
        <w:tc>
          <w:tcPr>
            <w:tcW w:w="1029"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9.1</w:t>
            </w:r>
          </w:p>
        </w:tc>
        <w:tc>
          <w:tcPr>
            <w:tcW w:w="1805"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排放配额交易</w:t>
            </w:r>
          </w:p>
        </w:tc>
        <w:tc>
          <w:tcPr>
            <w:tcW w:w="5161"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上海碳排放配额（SHEA）。</w:t>
            </w:r>
          </w:p>
        </w:tc>
        <w:tc>
          <w:tcPr>
            <w:tcW w:w="2933"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以1吨为最小变动单位，以0.01元/吨为最小价格变动单位。</w:t>
            </w:r>
          </w:p>
        </w:tc>
        <w:tc>
          <w:tcPr>
            <w:tcW w:w="2156"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48" w:hRule="atLeast"/>
        </w:trPr>
        <w:tc>
          <w:tcPr>
            <w:tcW w:w="986"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810"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排污权交易</w:t>
            </w:r>
          </w:p>
        </w:tc>
        <w:tc>
          <w:tcPr>
            <w:tcW w:w="1029"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10.1</w:t>
            </w:r>
          </w:p>
        </w:tc>
        <w:tc>
          <w:tcPr>
            <w:tcW w:w="18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color w:val="000000"/>
                <w:sz w:val="24"/>
                <w:szCs w:val="28"/>
                <w:lang w:val="en-US" w:eastAsia="zh-CN"/>
              </w:rPr>
              <w:t>定额出让排污权</w:t>
            </w:r>
          </w:p>
        </w:tc>
        <w:tc>
          <w:tcPr>
            <w:tcW w:w="5161" w:type="dxa"/>
            <w:vMerge w:val="restart"/>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挥发性有机物等主要污染物。</w:t>
            </w:r>
          </w:p>
        </w:tc>
        <w:tc>
          <w:tcPr>
            <w:tcW w:w="2933" w:type="dxa"/>
            <w:vMerge w:val="restart"/>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实施排污许可重点管理和简化管理的工业排污单位。</w:t>
            </w:r>
          </w:p>
        </w:tc>
        <w:tc>
          <w:tcPr>
            <w:tcW w:w="2156"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98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810"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029"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10.2</w:t>
            </w:r>
          </w:p>
        </w:tc>
        <w:tc>
          <w:tcPr>
            <w:tcW w:w="18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8"/>
                <w:lang w:eastAsia="zh-CN"/>
              </w:rPr>
              <w:t>公开竞价排污权</w:t>
            </w:r>
          </w:p>
        </w:tc>
        <w:tc>
          <w:tcPr>
            <w:tcW w:w="5161" w:type="dxa"/>
            <w:vMerge w:val="continue"/>
          </w:tcPr>
          <w:p>
            <w:pPr>
              <w:jc w:val="both"/>
              <w:rPr>
                <w:rFonts w:hint="default" w:ascii="Times New Roman" w:hAnsi="Times New Roman" w:eastAsia="仿宋" w:cs="Times New Roman"/>
                <w:sz w:val="24"/>
                <w:szCs w:val="24"/>
                <w:vertAlign w:val="baseline"/>
                <w:lang w:val="en-US" w:eastAsia="zh-CN"/>
              </w:rPr>
            </w:pPr>
          </w:p>
        </w:tc>
        <w:tc>
          <w:tcPr>
            <w:tcW w:w="2933" w:type="dxa"/>
            <w:vMerge w:val="continue"/>
          </w:tcPr>
          <w:p>
            <w:pPr>
              <w:jc w:val="both"/>
              <w:rPr>
                <w:rFonts w:hint="default" w:ascii="Times New Roman" w:hAnsi="Times New Roman" w:eastAsia="仿宋" w:cs="Times New Roman"/>
                <w:sz w:val="24"/>
                <w:szCs w:val="24"/>
                <w:vertAlign w:val="baseline"/>
                <w:lang w:val="en-US" w:eastAsia="zh-CN"/>
              </w:rPr>
            </w:pPr>
          </w:p>
        </w:tc>
        <w:tc>
          <w:tcPr>
            <w:tcW w:w="215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98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810"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029"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10.3</w:t>
            </w:r>
          </w:p>
        </w:tc>
        <w:tc>
          <w:tcPr>
            <w:tcW w:w="18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8"/>
                <w:lang w:eastAsia="zh-CN"/>
              </w:rPr>
              <w:t>协议转让排污权</w:t>
            </w:r>
          </w:p>
        </w:tc>
        <w:tc>
          <w:tcPr>
            <w:tcW w:w="5161" w:type="dxa"/>
            <w:vMerge w:val="continue"/>
          </w:tcPr>
          <w:p>
            <w:pPr>
              <w:jc w:val="both"/>
              <w:rPr>
                <w:rFonts w:hint="default" w:ascii="Times New Roman" w:hAnsi="Times New Roman" w:eastAsia="仿宋" w:cs="Times New Roman"/>
                <w:sz w:val="24"/>
                <w:szCs w:val="24"/>
                <w:vertAlign w:val="baseline"/>
                <w:lang w:val="en-US" w:eastAsia="zh-CN"/>
              </w:rPr>
            </w:pPr>
          </w:p>
        </w:tc>
        <w:tc>
          <w:tcPr>
            <w:tcW w:w="2933" w:type="dxa"/>
            <w:vMerge w:val="continue"/>
          </w:tcPr>
          <w:p>
            <w:pPr>
              <w:jc w:val="both"/>
              <w:rPr>
                <w:rFonts w:hint="default" w:ascii="Times New Roman" w:hAnsi="Times New Roman" w:eastAsia="仿宋" w:cs="Times New Roman"/>
                <w:sz w:val="24"/>
                <w:szCs w:val="24"/>
                <w:vertAlign w:val="baseline"/>
                <w:lang w:val="en-US" w:eastAsia="zh-CN"/>
              </w:rPr>
            </w:pPr>
          </w:p>
        </w:tc>
        <w:tc>
          <w:tcPr>
            <w:tcW w:w="215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98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810"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029"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10.4</w:t>
            </w:r>
          </w:p>
        </w:tc>
        <w:tc>
          <w:tcPr>
            <w:tcW w:w="18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color w:val="000000"/>
                <w:sz w:val="24"/>
                <w:szCs w:val="28"/>
                <w:lang w:val="en-US" w:eastAsia="zh-CN"/>
              </w:rPr>
              <w:t>回购排污权</w:t>
            </w:r>
          </w:p>
        </w:tc>
        <w:tc>
          <w:tcPr>
            <w:tcW w:w="5161" w:type="dxa"/>
            <w:vMerge w:val="continue"/>
          </w:tcPr>
          <w:p>
            <w:pPr>
              <w:jc w:val="both"/>
              <w:rPr>
                <w:rFonts w:hint="default" w:ascii="Times New Roman" w:hAnsi="Times New Roman" w:eastAsia="仿宋" w:cs="Times New Roman"/>
                <w:sz w:val="24"/>
                <w:szCs w:val="24"/>
                <w:vertAlign w:val="baseline"/>
                <w:lang w:val="en-US" w:eastAsia="zh-CN"/>
              </w:rPr>
            </w:pPr>
          </w:p>
        </w:tc>
        <w:tc>
          <w:tcPr>
            <w:tcW w:w="2933" w:type="dxa"/>
            <w:vMerge w:val="continue"/>
          </w:tcPr>
          <w:p>
            <w:pPr>
              <w:jc w:val="both"/>
              <w:rPr>
                <w:rFonts w:hint="default" w:ascii="Times New Roman" w:hAnsi="Times New Roman" w:eastAsia="仿宋" w:cs="Times New Roman"/>
                <w:sz w:val="24"/>
                <w:szCs w:val="24"/>
                <w:vertAlign w:val="baseline"/>
                <w:lang w:val="en-US" w:eastAsia="zh-CN"/>
              </w:rPr>
            </w:pPr>
          </w:p>
        </w:tc>
        <w:tc>
          <w:tcPr>
            <w:tcW w:w="215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7" w:hRule="atLeast"/>
        </w:trPr>
        <w:tc>
          <w:tcPr>
            <w:tcW w:w="986"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11</w:t>
            </w:r>
          </w:p>
        </w:tc>
        <w:tc>
          <w:tcPr>
            <w:tcW w:w="1810"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机电设备国内招标</w:t>
            </w:r>
          </w:p>
        </w:tc>
        <w:tc>
          <w:tcPr>
            <w:tcW w:w="1029"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11.1</w:t>
            </w:r>
          </w:p>
        </w:tc>
        <w:tc>
          <w:tcPr>
            <w:tcW w:w="1805"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企业使用国有资金通过招标方式在境内采购机电设备</w:t>
            </w:r>
          </w:p>
        </w:tc>
        <w:tc>
          <w:tcPr>
            <w:tcW w:w="5161"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企业使用国有资金达到限额以上且通过招标方式在境内采购机电设备，包括但不限于冶金机械、化工机械、加工机械、工程机械、民航设备、船舶设备、电力设备、电子设备、通信设备、交通系统设备、石油天然气设备等机电设备。</w:t>
            </w:r>
          </w:p>
        </w:tc>
        <w:tc>
          <w:tcPr>
            <w:tcW w:w="2933"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设备采购单项合同估算价在200万元人民币以上的机电设备国内招标项目。</w:t>
            </w:r>
          </w:p>
        </w:tc>
        <w:tc>
          <w:tcPr>
            <w:tcW w:w="2156"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市经济信息化委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33" w:hRule="atLeast"/>
        </w:trPr>
        <w:tc>
          <w:tcPr>
            <w:tcW w:w="986"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12</w:t>
            </w:r>
          </w:p>
        </w:tc>
        <w:tc>
          <w:tcPr>
            <w:tcW w:w="1810"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交通系统招投标</w:t>
            </w:r>
          </w:p>
        </w:tc>
        <w:tc>
          <w:tcPr>
            <w:tcW w:w="1029"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12.1</w:t>
            </w:r>
          </w:p>
        </w:tc>
        <w:tc>
          <w:tcPr>
            <w:tcW w:w="18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shd w:val="clear" w:color="auto" w:fill="auto"/>
                <w:vertAlign w:val="baseline"/>
                <w:lang w:val="en-US" w:eastAsia="zh-CN"/>
              </w:rPr>
              <w:t>国家批复铁路工程建设项目</w:t>
            </w:r>
          </w:p>
        </w:tc>
        <w:tc>
          <w:tcPr>
            <w:tcW w:w="5161" w:type="dxa"/>
          </w:tcPr>
          <w:p>
            <w:pPr>
              <w:jc w:val="both"/>
              <w:rPr>
                <w:rFonts w:hint="default" w:ascii="Times New Roman" w:hAnsi="Times New Roman" w:eastAsia="仿宋" w:cs="Times New Roman"/>
                <w:sz w:val="24"/>
                <w:szCs w:val="24"/>
                <w:vertAlign w:val="baseline"/>
                <w:lang w:val="en-US" w:eastAsia="zh-CN"/>
              </w:rPr>
            </w:pPr>
          </w:p>
        </w:tc>
        <w:tc>
          <w:tcPr>
            <w:tcW w:w="2933"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全部</w:t>
            </w:r>
          </w:p>
        </w:tc>
        <w:tc>
          <w:tcPr>
            <w:tcW w:w="2156"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上海铁路</w:t>
            </w:r>
          </w:p>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trPr>
        <w:tc>
          <w:tcPr>
            <w:tcW w:w="98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810"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029"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12.2</w:t>
            </w:r>
          </w:p>
        </w:tc>
        <w:tc>
          <w:tcPr>
            <w:tcW w:w="18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非基建类轨道交通大修更新改造项目</w:t>
            </w:r>
          </w:p>
        </w:tc>
        <w:tc>
          <w:tcPr>
            <w:tcW w:w="5161"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轨道交通大修更新改造实施计划中的非基本建设类项目。</w:t>
            </w:r>
          </w:p>
        </w:tc>
        <w:tc>
          <w:tcPr>
            <w:tcW w:w="2933"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全部</w:t>
            </w:r>
          </w:p>
        </w:tc>
        <w:tc>
          <w:tcPr>
            <w:tcW w:w="2156"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市交通委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98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810"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029"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12.3</w:t>
            </w:r>
          </w:p>
        </w:tc>
        <w:tc>
          <w:tcPr>
            <w:tcW w:w="18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非基建类航道维护疏浚项目交易服务</w:t>
            </w:r>
          </w:p>
        </w:tc>
        <w:tc>
          <w:tcPr>
            <w:tcW w:w="5161" w:type="dxa"/>
          </w:tcPr>
          <w:p>
            <w:pPr>
              <w:jc w:val="both"/>
              <w:rPr>
                <w:rFonts w:hint="default" w:ascii="Times New Roman" w:hAnsi="Times New Roman" w:eastAsia="仿宋" w:cs="Times New Roman"/>
                <w:sz w:val="24"/>
                <w:szCs w:val="24"/>
                <w:vertAlign w:val="baseline"/>
                <w:lang w:val="en-US" w:eastAsia="zh-CN"/>
              </w:rPr>
            </w:pPr>
          </w:p>
        </w:tc>
        <w:tc>
          <w:tcPr>
            <w:tcW w:w="2933"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全部</w:t>
            </w:r>
          </w:p>
        </w:tc>
        <w:tc>
          <w:tcPr>
            <w:tcW w:w="215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98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810"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029"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12.4</w:t>
            </w:r>
          </w:p>
        </w:tc>
        <w:tc>
          <w:tcPr>
            <w:tcW w:w="18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交通工程配套项目</w:t>
            </w:r>
          </w:p>
        </w:tc>
        <w:tc>
          <w:tcPr>
            <w:tcW w:w="5161"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第1类和第4类以外的交通工程相关管线搬迁、绿化搬迁、市政设施拆复建等配套项目。</w:t>
            </w:r>
          </w:p>
        </w:tc>
        <w:tc>
          <w:tcPr>
            <w:tcW w:w="2933"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全部</w:t>
            </w:r>
          </w:p>
        </w:tc>
        <w:tc>
          <w:tcPr>
            <w:tcW w:w="215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trPr>
        <w:tc>
          <w:tcPr>
            <w:tcW w:w="986"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13</w:t>
            </w:r>
          </w:p>
        </w:tc>
        <w:tc>
          <w:tcPr>
            <w:tcW w:w="1810"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药械采购</w:t>
            </w:r>
          </w:p>
        </w:tc>
        <w:tc>
          <w:tcPr>
            <w:tcW w:w="1029"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13.1</w:t>
            </w:r>
          </w:p>
        </w:tc>
        <w:tc>
          <w:tcPr>
            <w:tcW w:w="1805"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药品采购</w:t>
            </w:r>
          </w:p>
        </w:tc>
        <w:tc>
          <w:tcPr>
            <w:tcW w:w="5161"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医疗机构使用的药品采购。</w:t>
            </w:r>
          </w:p>
        </w:tc>
        <w:tc>
          <w:tcPr>
            <w:tcW w:w="293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本市公立医院和医保定点医疗机构使用的药品（医院自制制剂除外）。</w:t>
            </w:r>
          </w:p>
        </w:tc>
        <w:tc>
          <w:tcPr>
            <w:tcW w:w="2156"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92" w:hRule="atLeast"/>
        </w:trPr>
        <w:tc>
          <w:tcPr>
            <w:tcW w:w="98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810"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029"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13.2</w:t>
            </w:r>
          </w:p>
        </w:tc>
        <w:tc>
          <w:tcPr>
            <w:tcW w:w="1805"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医用耗材采购</w:t>
            </w:r>
          </w:p>
        </w:tc>
        <w:tc>
          <w:tcPr>
            <w:tcW w:w="5161"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医疗机构使用的医用耗材采购。</w:t>
            </w:r>
          </w:p>
        </w:tc>
        <w:tc>
          <w:tcPr>
            <w:tcW w:w="2933"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本市非营利性医疗机构和医保定点医疗机构使用的可单独收费的医疗器械。</w:t>
            </w:r>
          </w:p>
        </w:tc>
        <w:tc>
          <w:tcPr>
            <w:tcW w:w="215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6" w:hRule="atLeast"/>
        </w:trPr>
        <w:tc>
          <w:tcPr>
            <w:tcW w:w="986"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14</w:t>
            </w:r>
          </w:p>
        </w:tc>
        <w:tc>
          <w:tcPr>
            <w:tcW w:w="1810"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疫苗采购</w:t>
            </w:r>
          </w:p>
        </w:tc>
        <w:tc>
          <w:tcPr>
            <w:tcW w:w="1029"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14.1</w:t>
            </w:r>
          </w:p>
        </w:tc>
        <w:tc>
          <w:tcPr>
            <w:tcW w:w="1805"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免疫规划疫苗采购</w:t>
            </w:r>
          </w:p>
        </w:tc>
        <w:tc>
          <w:tcPr>
            <w:tcW w:w="5161"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我市免疫规划疫苗。</w:t>
            </w:r>
          </w:p>
        </w:tc>
        <w:tc>
          <w:tcPr>
            <w:tcW w:w="2933"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交易金额≥100万的本市免疫规划疫苗。</w:t>
            </w:r>
          </w:p>
        </w:tc>
        <w:tc>
          <w:tcPr>
            <w:tcW w:w="2156"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市卫生健康委</w:t>
            </w:r>
          </w:p>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市疾控局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7" w:hRule="atLeast"/>
        </w:trPr>
        <w:tc>
          <w:tcPr>
            <w:tcW w:w="98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810"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029"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14.2</w:t>
            </w:r>
          </w:p>
        </w:tc>
        <w:tc>
          <w:tcPr>
            <w:tcW w:w="1805"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非免疫规划疫苗采购</w:t>
            </w:r>
          </w:p>
        </w:tc>
        <w:tc>
          <w:tcPr>
            <w:tcW w:w="5161"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我市非免疫规划疫苗。</w:t>
            </w:r>
          </w:p>
        </w:tc>
        <w:tc>
          <w:tcPr>
            <w:tcW w:w="2933"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全部</w:t>
            </w:r>
          </w:p>
        </w:tc>
        <w:tc>
          <w:tcPr>
            <w:tcW w:w="215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trPr>
        <w:tc>
          <w:tcPr>
            <w:tcW w:w="986"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15</w:t>
            </w:r>
          </w:p>
        </w:tc>
        <w:tc>
          <w:tcPr>
            <w:tcW w:w="1810"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粮食交易</w:t>
            </w:r>
          </w:p>
        </w:tc>
        <w:tc>
          <w:tcPr>
            <w:tcW w:w="1029"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15.1</w:t>
            </w:r>
          </w:p>
        </w:tc>
        <w:tc>
          <w:tcPr>
            <w:tcW w:w="1805"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地方政府储备粮食交易</w:t>
            </w:r>
          </w:p>
        </w:tc>
        <w:tc>
          <w:tcPr>
            <w:tcW w:w="5161"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地方政府储备粮食（除特定情况外）的采购和销售。</w:t>
            </w:r>
          </w:p>
        </w:tc>
        <w:tc>
          <w:tcPr>
            <w:tcW w:w="2933"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全部</w:t>
            </w:r>
          </w:p>
        </w:tc>
        <w:tc>
          <w:tcPr>
            <w:tcW w:w="2156"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市粮食物资储备局</w:t>
            </w:r>
          </w:p>
        </w:tc>
      </w:tr>
    </w:tbl>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br w:type="page"/>
      </w:r>
    </w:p>
    <w:p>
      <w:pPr>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二、能进则进</w:t>
      </w:r>
    </w:p>
    <w:tbl>
      <w:tblPr>
        <w:tblStyle w:val="10"/>
        <w:tblW w:w="15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897"/>
        <w:gridCol w:w="1050"/>
        <w:gridCol w:w="1814"/>
        <w:gridCol w:w="5154"/>
        <w:gridCol w:w="2864"/>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blHeader/>
        </w:trPr>
        <w:tc>
          <w:tcPr>
            <w:tcW w:w="896" w:type="dxa"/>
            <w:shd w:val="clear" w:color="auto" w:fill="FEF2CB" w:themeFill="accent3" w:themeFillTint="32"/>
            <w:vAlign w:val="center"/>
          </w:tcPr>
          <w:p>
            <w:pPr>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品类</w:t>
            </w:r>
          </w:p>
          <w:p>
            <w:pPr>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编号</w:t>
            </w:r>
          </w:p>
        </w:tc>
        <w:tc>
          <w:tcPr>
            <w:tcW w:w="1897" w:type="dxa"/>
            <w:shd w:val="clear" w:color="auto" w:fill="FEF2CB" w:themeFill="accent3" w:themeFillTint="32"/>
            <w:vAlign w:val="center"/>
          </w:tcPr>
          <w:p>
            <w:pPr>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品类</w:t>
            </w:r>
          </w:p>
        </w:tc>
        <w:tc>
          <w:tcPr>
            <w:tcW w:w="1050" w:type="dxa"/>
            <w:shd w:val="clear" w:color="auto" w:fill="FEF2CB" w:themeFill="accent3" w:themeFillTint="32"/>
            <w:vAlign w:val="center"/>
          </w:tcPr>
          <w:p>
            <w:pPr>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分项</w:t>
            </w:r>
          </w:p>
          <w:p>
            <w:pPr>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编号</w:t>
            </w:r>
          </w:p>
        </w:tc>
        <w:tc>
          <w:tcPr>
            <w:tcW w:w="1814" w:type="dxa"/>
            <w:shd w:val="clear" w:color="auto" w:fill="FEF2CB" w:themeFill="accent3" w:themeFillTint="32"/>
            <w:vAlign w:val="center"/>
          </w:tcPr>
          <w:p>
            <w:pPr>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交易分项</w:t>
            </w:r>
          </w:p>
        </w:tc>
        <w:tc>
          <w:tcPr>
            <w:tcW w:w="5154" w:type="dxa"/>
            <w:shd w:val="clear" w:color="auto" w:fill="FEF2CB" w:themeFill="accent3" w:themeFillTint="32"/>
            <w:vAlign w:val="center"/>
          </w:tcPr>
          <w:p>
            <w:pPr>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交易内容</w:t>
            </w:r>
          </w:p>
        </w:tc>
        <w:tc>
          <w:tcPr>
            <w:tcW w:w="2864" w:type="dxa"/>
            <w:shd w:val="clear" w:color="auto" w:fill="FEF2CB" w:themeFill="accent3" w:themeFillTint="32"/>
            <w:vAlign w:val="center"/>
          </w:tcPr>
          <w:p>
            <w:pPr>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规模标准</w:t>
            </w:r>
          </w:p>
          <w:p>
            <w:pPr>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及范围</w:t>
            </w:r>
          </w:p>
        </w:tc>
        <w:tc>
          <w:tcPr>
            <w:tcW w:w="2245" w:type="dxa"/>
            <w:shd w:val="clear" w:color="auto" w:fill="FEF2CB" w:themeFill="accent3" w:themeFillTint="32"/>
            <w:vAlign w:val="center"/>
          </w:tcPr>
          <w:p>
            <w:pPr>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指导单位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trPr>
        <w:tc>
          <w:tcPr>
            <w:tcW w:w="896"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w:t>
            </w:r>
          </w:p>
        </w:tc>
        <w:tc>
          <w:tcPr>
            <w:tcW w:w="1897"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工程建设项目招标投标</w:t>
            </w:r>
          </w:p>
        </w:tc>
        <w:tc>
          <w:tcPr>
            <w:tcW w:w="1050"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1.1</w:t>
            </w:r>
          </w:p>
        </w:tc>
        <w:tc>
          <w:tcPr>
            <w:tcW w:w="1814"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限额以下工程建设项目</w:t>
            </w:r>
          </w:p>
        </w:tc>
        <w:tc>
          <w:tcPr>
            <w:tcW w:w="5154" w:type="dxa"/>
            <w:vAlign w:val="center"/>
          </w:tcPr>
          <w:p>
            <w:pPr>
              <w:jc w:val="both"/>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房屋建筑工程、市政基础设施工程、公路工程、港口和航道工程、</w:t>
            </w:r>
            <w:r>
              <w:rPr>
                <w:rFonts w:hint="default" w:ascii="Times New Roman" w:hAnsi="Times New Roman" w:eastAsia="仿宋" w:cs="Times New Roman"/>
                <w:b w:val="0"/>
                <w:bCs w:val="0"/>
                <w:sz w:val="24"/>
                <w:szCs w:val="24"/>
                <w:highlight w:val="none"/>
                <w:vertAlign w:val="baseline"/>
                <w:lang w:val="en-US" w:eastAsia="zh-CN"/>
              </w:rPr>
              <w:t>铁路工程、</w:t>
            </w:r>
            <w:r>
              <w:rPr>
                <w:rFonts w:hint="default" w:ascii="Times New Roman" w:hAnsi="Times New Roman" w:eastAsia="仿宋" w:cs="Times New Roman"/>
                <w:b w:val="0"/>
                <w:bCs w:val="0"/>
                <w:sz w:val="24"/>
                <w:szCs w:val="24"/>
                <w:vertAlign w:val="baseline"/>
                <w:lang w:val="en-US" w:eastAsia="zh-CN"/>
              </w:rPr>
              <w:t>水利工程、电力能源工程、园林绿化工程等其它工程。</w:t>
            </w:r>
          </w:p>
        </w:tc>
        <w:tc>
          <w:tcPr>
            <w:tcW w:w="2864" w:type="dxa"/>
            <w:vMerge w:val="restart"/>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1.施工单项合同估算价在400万元人民币以下；</w:t>
            </w:r>
          </w:p>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2.重要设备、材料等货物的采购，单项合同估算价在 200万元人民币以下；</w:t>
            </w:r>
          </w:p>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3.勘察、设计、监理等服务的采购，单项合同估算价在100万元人民币以下。</w:t>
            </w:r>
          </w:p>
        </w:tc>
        <w:tc>
          <w:tcPr>
            <w:tcW w:w="2245"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市住房城乡建设</w:t>
            </w:r>
          </w:p>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trPr>
        <w:tc>
          <w:tcPr>
            <w:tcW w:w="89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897"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050"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1.2</w:t>
            </w:r>
          </w:p>
        </w:tc>
        <w:tc>
          <w:tcPr>
            <w:tcW w:w="1814"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工程建设项目的前期工程</w:t>
            </w:r>
          </w:p>
        </w:tc>
        <w:tc>
          <w:tcPr>
            <w:tcW w:w="5154" w:type="dxa"/>
            <w:vAlign w:val="center"/>
          </w:tcPr>
          <w:p>
            <w:pPr>
              <w:jc w:val="both"/>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三通一平、管线搬迁等前期工程。</w:t>
            </w:r>
          </w:p>
        </w:tc>
        <w:tc>
          <w:tcPr>
            <w:tcW w:w="2864" w:type="dxa"/>
            <w:vMerge w:val="continue"/>
            <w:vAlign w:val="center"/>
          </w:tcPr>
          <w:p>
            <w:pPr>
              <w:jc w:val="both"/>
              <w:rPr>
                <w:rFonts w:hint="default" w:ascii="Times New Roman" w:hAnsi="Times New Roman" w:eastAsia="仿宋" w:cs="Times New Roman"/>
                <w:sz w:val="24"/>
                <w:szCs w:val="24"/>
                <w:vertAlign w:val="baseline"/>
                <w:lang w:val="en-US" w:eastAsia="zh-CN"/>
              </w:rPr>
            </w:pPr>
          </w:p>
        </w:tc>
        <w:tc>
          <w:tcPr>
            <w:tcW w:w="2245"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trPr>
        <w:tc>
          <w:tcPr>
            <w:tcW w:w="896" w:type="dxa"/>
            <w:shd w:val="clear" w:color="auto" w:fill="auto"/>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2</w:t>
            </w:r>
          </w:p>
        </w:tc>
        <w:tc>
          <w:tcPr>
            <w:tcW w:w="1897" w:type="dxa"/>
            <w:shd w:val="clear" w:color="auto" w:fill="auto"/>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补充耕地空间交易</w:t>
            </w:r>
          </w:p>
        </w:tc>
        <w:tc>
          <w:tcPr>
            <w:tcW w:w="1050" w:type="dxa"/>
            <w:shd w:val="clear" w:color="auto" w:fill="auto"/>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2.1</w:t>
            </w:r>
          </w:p>
        </w:tc>
        <w:tc>
          <w:tcPr>
            <w:tcW w:w="1814" w:type="dxa"/>
            <w:shd w:val="clear" w:color="auto" w:fill="auto"/>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补充耕地空间交易</w:t>
            </w:r>
          </w:p>
        </w:tc>
        <w:tc>
          <w:tcPr>
            <w:tcW w:w="5154" w:type="dxa"/>
            <w:shd w:val="clear" w:color="auto" w:fill="auto"/>
            <w:vAlign w:val="center"/>
          </w:tcPr>
          <w:p>
            <w:pPr>
              <w:jc w:val="both"/>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大占补实施后各区补充耕地空间。</w:t>
            </w:r>
          </w:p>
        </w:tc>
        <w:tc>
          <w:tcPr>
            <w:tcW w:w="2864" w:type="dxa"/>
            <w:shd w:val="clear" w:color="auto" w:fill="auto"/>
            <w:vAlign w:val="center"/>
          </w:tcPr>
          <w:p>
            <w:pPr>
              <w:jc w:val="both"/>
              <w:rPr>
                <w:rFonts w:hint="default" w:ascii="Times New Roman" w:hAnsi="Times New Roman" w:eastAsia="仿宋" w:cs="Times New Roman"/>
                <w:sz w:val="24"/>
                <w:szCs w:val="24"/>
                <w:vertAlign w:val="baseline"/>
                <w:lang w:val="en-US" w:eastAsia="zh-CN"/>
              </w:rPr>
            </w:pPr>
          </w:p>
        </w:tc>
        <w:tc>
          <w:tcPr>
            <w:tcW w:w="2245"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市规划资源局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77" w:hRule="atLeast"/>
        </w:trPr>
        <w:tc>
          <w:tcPr>
            <w:tcW w:w="896"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3</w:t>
            </w:r>
          </w:p>
        </w:tc>
        <w:tc>
          <w:tcPr>
            <w:tcW w:w="1897"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增减挂钩周转指标</w:t>
            </w:r>
            <w:r>
              <w:rPr>
                <w:rFonts w:hint="eastAsia" w:ascii="Times New Roman" w:hAnsi="Times New Roman" w:eastAsia="仿宋" w:cs="Times New Roman"/>
                <w:b w:val="0"/>
                <w:bCs w:val="0"/>
                <w:sz w:val="24"/>
                <w:szCs w:val="24"/>
                <w:vertAlign w:val="baseline"/>
                <w:lang w:val="en-US" w:eastAsia="zh-CN"/>
              </w:rPr>
              <w:t>交易</w:t>
            </w:r>
          </w:p>
        </w:tc>
        <w:tc>
          <w:tcPr>
            <w:tcW w:w="1050"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3.1</w:t>
            </w:r>
          </w:p>
        </w:tc>
        <w:tc>
          <w:tcPr>
            <w:tcW w:w="1814"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建设用地增减挂钩（拆旧复垦）指标交易</w:t>
            </w:r>
          </w:p>
        </w:tc>
        <w:tc>
          <w:tcPr>
            <w:tcW w:w="5154" w:type="dxa"/>
            <w:vAlign w:val="center"/>
          </w:tcPr>
          <w:p>
            <w:pPr>
              <w:jc w:val="both"/>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增减挂钩周转指标。</w:t>
            </w:r>
          </w:p>
        </w:tc>
        <w:tc>
          <w:tcPr>
            <w:tcW w:w="286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项目区未使用的建设用地周转指标（含耕地保护空间），可以通过市级平台跨区交易。</w:t>
            </w:r>
          </w:p>
        </w:tc>
        <w:tc>
          <w:tcPr>
            <w:tcW w:w="2245"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896"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4</w:t>
            </w:r>
          </w:p>
        </w:tc>
        <w:tc>
          <w:tcPr>
            <w:tcW w:w="1897"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城镇集体资产交易</w:t>
            </w:r>
          </w:p>
        </w:tc>
        <w:tc>
          <w:tcPr>
            <w:tcW w:w="1050"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4.1</w:t>
            </w:r>
          </w:p>
        </w:tc>
        <w:tc>
          <w:tcPr>
            <w:tcW w:w="1814"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城镇集体资产交易</w:t>
            </w:r>
          </w:p>
        </w:tc>
        <w:tc>
          <w:tcPr>
            <w:tcW w:w="5154" w:type="dxa"/>
            <w:vAlign w:val="center"/>
          </w:tcPr>
          <w:p>
            <w:pPr>
              <w:jc w:val="both"/>
              <w:rPr>
                <w:rFonts w:hint="default" w:ascii="Times New Roman" w:hAnsi="Times New Roman" w:eastAsia="仿宋" w:cs="Times New Roman"/>
                <w:b w:val="0"/>
                <w:bCs w:val="0"/>
                <w:sz w:val="24"/>
                <w:szCs w:val="24"/>
                <w:vertAlign w:val="baseline"/>
                <w:lang w:val="en-US" w:eastAsia="zh-CN"/>
              </w:rPr>
            </w:pPr>
          </w:p>
        </w:tc>
        <w:tc>
          <w:tcPr>
            <w:tcW w:w="2864" w:type="dxa"/>
            <w:vAlign w:val="center"/>
          </w:tcPr>
          <w:p>
            <w:pPr>
              <w:jc w:val="both"/>
              <w:rPr>
                <w:rFonts w:hint="default" w:ascii="Times New Roman" w:hAnsi="Times New Roman" w:eastAsia="仿宋" w:cs="Times New Roman"/>
                <w:sz w:val="24"/>
                <w:szCs w:val="24"/>
                <w:vertAlign w:val="baseline"/>
                <w:lang w:val="en-US" w:eastAsia="zh-CN"/>
              </w:rPr>
            </w:pPr>
          </w:p>
        </w:tc>
        <w:tc>
          <w:tcPr>
            <w:tcW w:w="2245"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896" w:type="dxa"/>
            <w:vAlign w:val="center"/>
          </w:tcPr>
          <w:p>
            <w:pPr>
              <w:jc w:val="center"/>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sz w:val="24"/>
                <w:szCs w:val="24"/>
                <w:vertAlign w:val="baseline"/>
                <w:lang w:val="en-US" w:eastAsia="zh-CN"/>
              </w:rPr>
              <w:t>5</w:t>
            </w:r>
          </w:p>
        </w:tc>
        <w:tc>
          <w:tcPr>
            <w:tcW w:w="1897"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国有企业采购</w:t>
            </w:r>
          </w:p>
        </w:tc>
        <w:tc>
          <w:tcPr>
            <w:tcW w:w="1050" w:type="dxa"/>
            <w:vAlign w:val="center"/>
          </w:tcPr>
          <w:p>
            <w:pPr>
              <w:jc w:val="center"/>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sz w:val="24"/>
                <w:szCs w:val="24"/>
                <w:vertAlign w:val="baseline"/>
                <w:lang w:val="en-US" w:eastAsia="zh-CN"/>
              </w:rPr>
              <w:t>5.1</w:t>
            </w:r>
          </w:p>
        </w:tc>
        <w:tc>
          <w:tcPr>
            <w:tcW w:w="1814"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国有企业</w:t>
            </w:r>
          </w:p>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采购</w:t>
            </w:r>
          </w:p>
        </w:tc>
        <w:tc>
          <w:tcPr>
            <w:tcW w:w="5154" w:type="dxa"/>
            <w:vAlign w:val="center"/>
          </w:tcPr>
          <w:p>
            <w:pPr>
              <w:jc w:val="both"/>
              <w:rPr>
                <w:rFonts w:hint="default" w:ascii="Times New Roman" w:hAnsi="Times New Roman" w:eastAsia="仿宋" w:cs="Times New Roman"/>
                <w:b w:val="0"/>
                <w:bCs w:val="0"/>
                <w:sz w:val="24"/>
                <w:szCs w:val="24"/>
                <w:vertAlign w:val="baseline"/>
                <w:lang w:val="en-US" w:eastAsia="zh-CN"/>
              </w:rPr>
            </w:pPr>
          </w:p>
        </w:tc>
        <w:tc>
          <w:tcPr>
            <w:tcW w:w="2864" w:type="dxa"/>
            <w:vAlign w:val="center"/>
          </w:tcPr>
          <w:p>
            <w:pPr>
              <w:jc w:val="both"/>
              <w:rPr>
                <w:rFonts w:hint="default" w:ascii="Times New Roman" w:hAnsi="Times New Roman" w:eastAsia="仿宋" w:cs="Times New Roman"/>
                <w:sz w:val="24"/>
                <w:szCs w:val="24"/>
                <w:vertAlign w:val="baseline"/>
                <w:lang w:val="en-US" w:eastAsia="zh-CN"/>
              </w:rPr>
            </w:pPr>
          </w:p>
        </w:tc>
        <w:tc>
          <w:tcPr>
            <w:tcW w:w="2245" w:type="dxa"/>
            <w:vAlign w:val="center"/>
          </w:tcPr>
          <w:p>
            <w:pPr>
              <w:jc w:val="center"/>
              <w:rPr>
                <w:rFonts w:hint="eastAsia"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市国资委</w:t>
            </w:r>
          </w:p>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相关行业主管部门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896" w:type="dxa"/>
            <w:vAlign w:val="center"/>
          </w:tcPr>
          <w:p>
            <w:pPr>
              <w:jc w:val="center"/>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sz w:val="24"/>
                <w:szCs w:val="24"/>
                <w:vertAlign w:val="baseline"/>
                <w:lang w:val="en-US" w:eastAsia="zh-CN"/>
              </w:rPr>
              <w:t>6</w:t>
            </w:r>
          </w:p>
        </w:tc>
        <w:tc>
          <w:tcPr>
            <w:tcW w:w="1897"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使用非财政性资金的事业单位采购</w:t>
            </w:r>
          </w:p>
        </w:tc>
        <w:tc>
          <w:tcPr>
            <w:tcW w:w="1050" w:type="dxa"/>
            <w:vAlign w:val="center"/>
          </w:tcPr>
          <w:p>
            <w:pPr>
              <w:jc w:val="center"/>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sz w:val="24"/>
                <w:szCs w:val="24"/>
                <w:vertAlign w:val="baseline"/>
                <w:lang w:val="en-US" w:eastAsia="zh-CN"/>
              </w:rPr>
              <w:t>6.1</w:t>
            </w:r>
          </w:p>
        </w:tc>
        <w:tc>
          <w:tcPr>
            <w:tcW w:w="1814"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使用非财政性资金的事业单位采购</w:t>
            </w:r>
          </w:p>
        </w:tc>
        <w:tc>
          <w:tcPr>
            <w:tcW w:w="5154" w:type="dxa"/>
            <w:vAlign w:val="center"/>
          </w:tcPr>
          <w:p>
            <w:pPr>
              <w:jc w:val="both"/>
              <w:rPr>
                <w:rFonts w:hint="default" w:ascii="Times New Roman" w:hAnsi="Times New Roman" w:eastAsia="仿宋" w:cs="Times New Roman"/>
                <w:b w:val="0"/>
                <w:bCs w:val="0"/>
                <w:sz w:val="24"/>
                <w:szCs w:val="24"/>
                <w:vertAlign w:val="baseline"/>
                <w:lang w:val="en-US" w:eastAsia="zh-CN"/>
              </w:rPr>
            </w:pPr>
          </w:p>
        </w:tc>
        <w:tc>
          <w:tcPr>
            <w:tcW w:w="2864" w:type="dxa"/>
            <w:vAlign w:val="center"/>
          </w:tcPr>
          <w:p>
            <w:pPr>
              <w:jc w:val="both"/>
              <w:rPr>
                <w:rFonts w:hint="default" w:ascii="Times New Roman" w:hAnsi="Times New Roman" w:eastAsia="仿宋" w:cs="Times New Roman"/>
                <w:sz w:val="24"/>
                <w:szCs w:val="24"/>
                <w:vertAlign w:val="baseline"/>
                <w:lang w:val="en-US" w:eastAsia="zh-CN"/>
              </w:rPr>
            </w:pPr>
          </w:p>
        </w:tc>
        <w:tc>
          <w:tcPr>
            <w:tcW w:w="2245"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相关上级主管部门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3" w:hRule="atLeast"/>
        </w:trPr>
        <w:tc>
          <w:tcPr>
            <w:tcW w:w="896" w:type="dxa"/>
            <w:vAlign w:val="center"/>
          </w:tcPr>
          <w:p>
            <w:pPr>
              <w:jc w:val="center"/>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sz w:val="24"/>
                <w:szCs w:val="24"/>
                <w:vertAlign w:val="baseline"/>
                <w:lang w:val="en-US" w:eastAsia="zh-CN"/>
              </w:rPr>
              <w:t>7</w:t>
            </w:r>
          </w:p>
        </w:tc>
        <w:tc>
          <w:tcPr>
            <w:tcW w:w="18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本市国家机关、事业单位和团体组织在集中采购目录以外、限额标准以下的财政性资金采购</w:t>
            </w:r>
          </w:p>
        </w:tc>
        <w:tc>
          <w:tcPr>
            <w:tcW w:w="1050" w:type="dxa"/>
            <w:vAlign w:val="center"/>
          </w:tcPr>
          <w:p>
            <w:pPr>
              <w:jc w:val="center"/>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sz w:val="24"/>
                <w:szCs w:val="24"/>
                <w:vertAlign w:val="baseline"/>
                <w:lang w:val="en-US" w:eastAsia="zh-CN"/>
              </w:rPr>
              <w:t>7.1</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本市国家机关、事业单位和团体组织在集中采购目录以外、限额标准以下的财政性资金采购</w:t>
            </w:r>
          </w:p>
        </w:tc>
        <w:tc>
          <w:tcPr>
            <w:tcW w:w="5154" w:type="dxa"/>
            <w:vAlign w:val="center"/>
          </w:tcPr>
          <w:p>
            <w:pPr>
              <w:jc w:val="both"/>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本市政府采购限额标准为100万元</w:t>
            </w:r>
            <w:r>
              <w:rPr>
                <w:rFonts w:hint="eastAsia" w:ascii="Times New Roman" w:hAnsi="Times New Roman" w:eastAsia="仿宋" w:cs="Times New Roman"/>
                <w:b w:val="0"/>
                <w:bCs w:val="0"/>
                <w:sz w:val="24"/>
                <w:szCs w:val="24"/>
                <w:vertAlign w:val="baseline"/>
                <w:lang w:val="en-US" w:eastAsia="zh-CN"/>
              </w:rPr>
              <w:t>。</w:t>
            </w:r>
          </w:p>
        </w:tc>
        <w:tc>
          <w:tcPr>
            <w:tcW w:w="2864" w:type="dxa"/>
            <w:vAlign w:val="center"/>
          </w:tcPr>
          <w:p>
            <w:pPr>
              <w:jc w:val="both"/>
              <w:rPr>
                <w:rFonts w:hint="default" w:ascii="Times New Roman" w:hAnsi="Times New Roman" w:eastAsia="仿宋" w:cs="Times New Roman"/>
                <w:sz w:val="24"/>
                <w:szCs w:val="24"/>
                <w:vertAlign w:val="baseline"/>
                <w:lang w:val="en-US" w:eastAsia="zh-CN"/>
              </w:rPr>
            </w:pPr>
          </w:p>
        </w:tc>
        <w:tc>
          <w:tcPr>
            <w:tcW w:w="2245"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40" w:hRule="atLeast"/>
        </w:trPr>
        <w:tc>
          <w:tcPr>
            <w:tcW w:w="896"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8</w:t>
            </w:r>
          </w:p>
        </w:tc>
        <w:tc>
          <w:tcPr>
            <w:tcW w:w="1897"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行政事业单位报废资产交易</w:t>
            </w:r>
          </w:p>
        </w:tc>
        <w:tc>
          <w:tcPr>
            <w:tcW w:w="1050"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8</w:t>
            </w:r>
            <w:r>
              <w:rPr>
                <w:rFonts w:hint="default" w:ascii="Times New Roman" w:hAnsi="Times New Roman" w:eastAsia="仿宋" w:cs="Times New Roman"/>
                <w:sz w:val="24"/>
                <w:szCs w:val="24"/>
                <w:vertAlign w:val="baseline"/>
                <w:lang w:val="en-US" w:eastAsia="zh-CN"/>
              </w:rPr>
              <w:t>.1</w:t>
            </w:r>
          </w:p>
        </w:tc>
        <w:tc>
          <w:tcPr>
            <w:tcW w:w="1814"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行政事业单位报废资产交易</w:t>
            </w:r>
          </w:p>
        </w:tc>
        <w:tc>
          <w:tcPr>
            <w:tcW w:w="5154" w:type="dxa"/>
            <w:vAlign w:val="center"/>
          </w:tcPr>
          <w:p>
            <w:pPr>
              <w:jc w:val="both"/>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行政事业单位报废资产公开处置。</w:t>
            </w:r>
          </w:p>
        </w:tc>
        <w:tc>
          <w:tcPr>
            <w:tcW w:w="2864" w:type="dxa"/>
            <w:vAlign w:val="center"/>
          </w:tcPr>
          <w:p>
            <w:pPr>
              <w:jc w:val="both"/>
              <w:rPr>
                <w:rFonts w:hint="default" w:ascii="Times New Roman" w:hAnsi="Times New Roman" w:eastAsia="仿宋" w:cs="Times New Roman"/>
                <w:sz w:val="24"/>
                <w:szCs w:val="24"/>
                <w:vertAlign w:val="baseline"/>
                <w:lang w:val="en-US" w:eastAsia="zh-CN"/>
              </w:rPr>
            </w:pPr>
          </w:p>
        </w:tc>
        <w:tc>
          <w:tcPr>
            <w:tcW w:w="2245"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8" w:hRule="atLeast"/>
        </w:trPr>
        <w:tc>
          <w:tcPr>
            <w:tcW w:w="896" w:type="dxa"/>
            <w:vAlign w:val="center"/>
          </w:tcPr>
          <w:p>
            <w:pPr>
              <w:jc w:val="center"/>
              <w:rPr>
                <w:rFonts w:hint="default" w:ascii="Times New Roman" w:hAnsi="Times New Roman" w:eastAsia="仿宋" w:cs="Times New Roman"/>
                <w:kern w:val="2"/>
                <w:sz w:val="24"/>
                <w:szCs w:val="24"/>
                <w:vertAlign w:val="baseline"/>
                <w:lang w:val="en-US" w:eastAsia="zh-CN" w:bidi="ar-SA"/>
              </w:rPr>
            </w:pPr>
            <w:r>
              <w:rPr>
                <w:rFonts w:hint="default" w:ascii="Times New Roman" w:hAnsi="Times New Roman" w:eastAsia="仿宋" w:cs="Times New Roman"/>
                <w:sz w:val="24"/>
                <w:szCs w:val="24"/>
                <w:vertAlign w:val="baseline"/>
                <w:lang w:val="en-US" w:eastAsia="zh-CN"/>
              </w:rPr>
              <w:t>9</w:t>
            </w:r>
          </w:p>
        </w:tc>
        <w:tc>
          <w:tcPr>
            <w:tcW w:w="1897"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行政执法部门依法开展的涉案资产处置</w:t>
            </w:r>
          </w:p>
        </w:tc>
        <w:tc>
          <w:tcPr>
            <w:tcW w:w="1050" w:type="dxa"/>
            <w:vAlign w:val="center"/>
          </w:tcPr>
          <w:p>
            <w:pPr>
              <w:jc w:val="center"/>
              <w:rPr>
                <w:rFonts w:hint="default" w:ascii="Times New Roman" w:hAnsi="Times New Roman" w:eastAsia="仿宋" w:cs="Times New Roman"/>
                <w:kern w:val="2"/>
                <w:sz w:val="24"/>
                <w:szCs w:val="24"/>
                <w:vertAlign w:val="baseline"/>
                <w:lang w:val="en-US" w:eastAsia="zh-CN" w:bidi="ar-SA"/>
              </w:rPr>
            </w:pPr>
            <w:r>
              <w:rPr>
                <w:rFonts w:hint="default" w:ascii="Times New Roman" w:hAnsi="Times New Roman" w:eastAsia="仿宋" w:cs="Times New Roman"/>
                <w:sz w:val="24"/>
                <w:szCs w:val="24"/>
                <w:vertAlign w:val="baseline"/>
                <w:lang w:val="en-US" w:eastAsia="zh-CN"/>
              </w:rPr>
              <w:t>9.1</w:t>
            </w:r>
          </w:p>
        </w:tc>
        <w:tc>
          <w:tcPr>
            <w:tcW w:w="1814"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行政执法部门依法开展的涉案资产处置</w:t>
            </w:r>
          </w:p>
        </w:tc>
        <w:tc>
          <w:tcPr>
            <w:tcW w:w="515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公安机关、海关、税务、财政、水务等行政执法部门依法处置的资产（含车辆、船舶、飞行器、物资、机械设备、生产资源、生活用品等动产，房屋、在建工程等不动产，股权、各类权益、商标、专利等无形资产，以及法律法规允许变价处置、转让的其他财产）。</w:t>
            </w:r>
          </w:p>
        </w:tc>
        <w:tc>
          <w:tcPr>
            <w:tcW w:w="2864" w:type="dxa"/>
            <w:vAlign w:val="center"/>
          </w:tcPr>
          <w:p>
            <w:pPr>
              <w:jc w:val="both"/>
              <w:rPr>
                <w:rFonts w:hint="default" w:ascii="Times New Roman" w:hAnsi="Times New Roman" w:eastAsia="仿宋" w:cs="Times New Roman"/>
                <w:sz w:val="24"/>
                <w:szCs w:val="24"/>
                <w:vertAlign w:val="baseline"/>
                <w:lang w:val="en-US" w:eastAsia="zh-CN"/>
              </w:rPr>
            </w:pPr>
          </w:p>
        </w:tc>
        <w:tc>
          <w:tcPr>
            <w:tcW w:w="2245"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trPr>
        <w:tc>
          <w:tcPr>
            <w:tcW w:w="896" w:type="dxa"/>
            <w:vAlign w:val="center"/>
          </w:tcPr>
          <w:p>
            <w:pPr>
              <w:jc w:val="center"/>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kern w:val="2"/>
                <w:sz w:val="24"/>
                <w:szCs w:val="24"/>
                <w:vertAlign w:val="baseline"/>
                <w:lang w:val="en-US" w:eastAsia="zh-CN" w:bidi="ar-SA"/>
              </w:rPr>
              <w:t>10</w:t>
            </w:r>
          </w:p>
        </w:tc>
        <w:tc>
          <w:tcPr>
            <w:tcW w:w="1897"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海洋资源交易</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b w:val="0"/>
                <w:bCs w:val="0"/>
                <w:sz w:val="24"/>
                <w:szCs w:val="24"/>
                <w:vertAlign w:val="baseline"/>
                <w:lang w:val="en-US" w:eastAsia="zh-CN"/>
              </w:rPr>
              <w:t>10</w:t>
            </w:r>
            <w:bookmarkStart w:id="0" w:name="_GoBack"/>
            <w:bookmarkEnd w:id="0"/>
            <w:r>
              <w:rPr>
                <w:rFonts w:hint="default" w:ascii="Times New Roman" w:hAnsi="Times New Roman" w:eastAsia="仿宋" w:cs="Times New Roman"/>
                <w:b w:val="0"/>
                <w:bCs w:val="0"/>
                <w:sz w:val="24"/>
                <w:szCs w:val="24"/>
                <w:vertAlign w:val="baseline"/>
                <w:lang w:val="en-US" w:eastAsia="zh-CN"/>
              </w:rPr>
              <w:t>.1</w:t>
            </w:r>
          </w:p>
        </w:tc>
        <w:tc>
          <w:tcPr>
            <w:tcW w:w="1814"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海域使用权</w:t>
            </w:r>
          </w:p>
        </w:tc>
        <w:tc>
          <w:tcPr>
            <w:tcW w:w="5154" w:type="dxa"/>
            <w:vAlign w:val="center"/>
          </w:tcPr>
          <w:p>
            <w:pPr>
              <w:jc w:val="both"/>
              <w:rPr>
                <w:rFonts w:hint="default" w:ascii="Times New Roman" w:hAnsi="Times New Roman" w:eastAsia="仿宋" w:cs="Times New Roman"/>
                <w:b w:val="0"/>
                <w:bCs w:val="0"/>
                <w:sz w:val="24"/>
                <w:szCs w:val="24"/>
                <w:vertAlign w:val="baseline"/>
                <w:lang w:val="en-US" w:eastAsia="zh-CN"/>
              </w:rPr>
            </w:pPr>
          </w:p>
        </w:tc>
        <w:tc>
          <w:tcPr>
            <w:tcW w:w="2864" w:type="dxa"/>
            <w:vAlign w:val="center"/>
          </w:tcPr>
          <w:p>
            <w:pPr>
              <w:jc w:val="both"/>
              <w:rPr>
                <w:rFonts w:hint="default" w:ascii="Times New Roman" w:hAnsi="Times New Roman" w:eastAsia="仿宋" w:cs="Times New Roman"/>
                <w:sz w:val="24"/>
                <w:szCs w:val="24"/>
                <w:vertAlign w:val="baseline"/>
                <w:lang w:val="en-US" w:eastAsia="zh-CN"/>
              </w:rPr>
            </w:pPr>
          </w:p>
        </w:tc>
        <w:tc>
          <w:tcPr>
            <w:tcW w:w="2245"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市水务局</w:t>
            </w:r>
          </w:p>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（海洋局）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trPr>
        <w:tc>
          <w:tcPr>
            <w:tcW w:w="896" w:type="dxa"/>
            <w:vAlign w:val="center"/>
          </w:tcPr>
          <w:p>
            <w:pPr>
              <w:jc w:val="center"/>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sz w:val="24"/>
                <w:szCs w:val="24"/>
                <w:vertAlign w:val="baseline"/>
                <w:lang w:val="en-US" w:eastAsia="zh-CN"/>
              </w:rPr>
              <w:t>11</w:t>
            </w:r>
          </w:p>
        </w:tc>
        <w:tc>
          <w:tcPr>
            <w:tcW w:w="1897"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碳排放权交易</w:t>
            </w:r>
          </w:p>
        </w:tc>
        <w:tc>
          <w:tcPr>
            <w:tcW w:w="1050" w:type="dxa"/>
            <w:vAlign w:val="center"/>
          </w:tcPr>
          <w:p>
            <w:pPr>
              <w:jc w:val="center"/>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sz w:val="24"/>
                <w:szCs w:val="24"/>
                <w:vertAlign w:val="baseline"/>
                <w:lang w:val="en-US" w:eastAsia="zh-CN"/>
              </w:rPr>
              <w:t>11.1</w:t>
            </w:r>
          </w:p>
        </w:tc>
        <w:tc>
          <w:tcPr>
            <w:tcW w:w="1814"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碳普惠交易</w:t>
            </w:r>
          </w:p>
        </w:tc>
        <w:tc>
          <w:tcPr>
            <w:tcW w:w="5154" w:type="dxa"/>
            <w:vAlign w:val="center"/>
          </w:tcPr>
          <w:p>
            <w:pPr>
              <w:jc w:val="both"/>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上海温室气体自愿减排交易产品（SHCERCIR1）。</w:t>
            </w:r>
          </w:p>
        </w:tc>
        <w:tc>
          <w:tcPr>
            <w:tcW w:w="2864"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以1吨为最小变动单位，以0.01元/吨为最小价格变动单位。</w:t>
            </w:r>
          </w:p>
        </w:tc>
        <w:tc>
          <w:tcPr>
            <w:tcW w:w="2245"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trPr>
        <w:tc>
          <w:tcPr>
            <w:tcW w:w="896" w:type="dxa"/>
            <w:vAlign w:val="center"/>
          </w:tcPr>
          <w:p>
            <w:pPr>
              <w:jc w:val="center"/>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sz w:val="24"/>
                <w:szCs w:val="24"/>
                <w:vertAlign w:val="baseline"/>
                <w:lang w:val="en-US" w:eastAsia="zh-CN"/>
              </w:rPr>
              <w:t>12</w:t>
            </w:r>
          </w:p>
        </w:tc>
        <w:tc>
          <w:tcPr>
            <w:tcW w:w="1897"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机电设备国内招标</w:t>
            </w:r>
          </w:p>
        </w:tc>
        <w:tc>
          <w:tcPr>
            <w:tcW w:w="1050" w:type="dxa"/>
            <w:vAlign w:val="center"/>
          </w:tcPr>
          <w:p>
            <w:pPr>
              <w:jc w:val="center"/>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sz w:val="24"/>
                <w:szCs w:val="24"/>
                <w:vertAlign w:val="baseline"/>
                <w:lang w:val="en-US" w:eastAsia="zh-CN"/>
              </w:rPr>
              <w:t>12.1</w:t>
            </w:r>
          </w:p>
        </w:tc>
        <w:tc>
          <w:tcPr>
            <w:tcW w:w="1814"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其他机电设备国内招标项目</w:t>
            </w:r>
          </w:p>
        </w:tc>
        <w:tc>
          <w:tcPr>
            <w:tcW w:w="5154" w:type="dxa"/>
            <w:vAlign w:val="center"/>
          </w:tcPr>
          <w:p>
            <w:pPr>
              <w:jc w:val="both"/>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设备采购单项合同估算价在200万元人民币以下的机电设备国内招标项目。</w:t>
            </w:r>
          </w:p>
        </w:tc>
        <w:tc>
          <w:tcPr>
            <w:tcW w:w="2864" w:type="dxa"/>
            <w:vAlign w:val="center"/>
          </w:tcPr>
          <w:p>
            <w:pPr>
              <w:jc w:val="both"/>
              <w:rPr>
                <w:rFonts w:hint="default" w:ascii="Times New Roman" w:hAnsi="Times New Roman" w:eastAsia="仿宋" w:cs="Times New Roman"/>
                <w:sz w:val="24"/>
                <w:szCs w:val="24"/>
                <w:vertAlign w:val="baseline"/>
                <w:lang w:val="en-US" w:eastAsia="zh-CN"/>
              </w:rPr>
            </w:pPr>
          </w:p>
        </w:tc>
        <w:tc>
          <w:tcPr>
            <w:tcW w:w="2245"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市经济信息化委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7" w:hRule="atLeast"/>
        </w:trPr>
        <w:tc>
          <w:tcPr>
            <w:tcW w:w="896" w:type="dxa"/>
            <w:vAlign w:val="center"/>
          </w:tcPr>
          <w:p>
            <w:pPr>
              <w:jc w:val="center"/>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sz w:val="24"/>
                <w:szCs w:val="24"/>
                <w:vertAlign w:val="baseline"/>
                <w:lang w:val="en-US" w:eastAsia="zh-CN"/>
              </w:rPr>
              <w:t>13</w:t>
            </w:r>
          </w:p>
        </w:tc>
        <w:tc>
          <w:tcPr>
            <w:tcW w:w="1897"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交通日常运维项目</w:t>
            </w:r>
            <w:r>
              <w:rPr>
                <w:rFonts w:hint="eastAsia" w:ascii="Times New Roman" w:hAnsi="Times New Roman" w:eastAsia="仿宋" w:cs="Times New Roman"/>
                <w:b w:val="0"/>
                <w:bCs w:val="0"/>
                <w:sz w:val="24"/>
                <w:szCs w:val="24"/>
                <w:vertAlign w:val="baseline"/>
                <w:lang w:val="en-US" w:eastAsia="zh-CN"/>
              </w:rPr>
              <w:t>采购</w:t>
            </w:r>
          </w:p>
        </w:tc>
        <w:tc>
          <w:tcPr>
            <w:tcW w:w="1050" w:type="dxa"/>
            <w:vAlign w:val="center"/>
          </w:tcPr>
          <w:p>
            <w:pPr>
              <w:jc w:val="center"/>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sz w:val="24"/>
                <w:szCs w:val="24"/>
                <w:vertAlign w:val="baseline"/>
                <w:lang w:val="en-US" w:eastAsia="zh-CN"/>
              </w:rPr>
              <w:t>13.1</w:t>
            </w:r>
          </w:p>
        </w:tc>
        <w:tc>
          <w:tcPr>
            <w:tcW w:w="1814"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市政、公路养护工程</w:t>
            </w:r>
          </w:p>
        </w:tc>
        <w:tc>
          <w:tcPr>
            <w:tcW w:w="515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国家机关、事业单位和团体组织使用财政性资金采购依法制定的集中采购目录以外或者采购限额标准以下的工程、货物及服务；交通基础设施特许经营主体使用非财政性资金采购的工程、货物及服务。</w:t>
            </w:r>
          </w:p>
        </w:tc>
        <w:tc>
          <w:tcPr>
            <w:tcW w:w="2864" w:type="dxa"/>
            <w:vAlign w:val="center"/>
          </w:tcPr>
          <w:p>
            <w:pPr>
              <w:jc w:val="both"/>
              <w:rPr>
                <w:rFonts w:hint="default" w:ascii="Times New Roman" w:hAnsi="Times New Roman" w:eastAsia="仿宋" w:cs="Times New Roman"/>
                <w:sz w:val="24"/>
                <w:szCs w:val="24"/>
                <w:vertAlign w:val="baseline"/>
                <w:lang w:val="en-US" w:eastAsia="zh-CN"/>
              </w:rPr>
            </w:pPr>
          </w:p>
        </w:tc>
        <w:tc>
          <w:tcPr>
            <w:tcW w:w="2245"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市交通委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2" w:hRule="atLeast"/>
        </w:trPr>
        <w:tc>
          <w:tcPr>
            <w:tcW w:w="896" w:type="dxa"/>
            <w:vAlign w:val="center"/>
          </w:tcPr>
          <w:p>
            <w:pPr>
              <w:jc w:val="center"/>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sz w:val="24"/>
                <w:szCs w:val="24"/>
                <w:vertAlign w:val="baseline"/>
                <w:lang w:val="en-US" w:eastAsia="zh-CN"/>
              </w:rPr>
              <w:t>14</w:t>
            </w:r>
          </w:p>
        </w:tc>
        <w:tc>
          <w:tcPr>
            <w:tcW w:w="1897"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交通系统招投标</w:t>
            </w:r>
          </w:p>
        </w:tc>
        <w:tc>
          <w:tcPr>
            <w:tcW w:w="1050" w:type="dxa"/>
            <w:vAlign w:val="center"/>
          </w:tcPr>
          <w:p>
            <w:pPr>
              <w:jc w:val="center"/>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sz w:val="24"/>
                <w:szCs w:val="24"/>
                <w:vertAlign w:val="baseline"/>
                <w:lang w:val="en-US" w:eastAsia="zh-CN"/>
              </w:rPr>
              <w:t>14.1</w:t>
            </w:r>
          </w:p>
        </w:tc>
        <w:tc>
          <w:tcPr>
            <w:tcW w:w="1814"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航道智慧化升级改造项目</w:t>
            </w:r>
          </w:p>
        </w:tc>
        <w:tc>
          <w:tcPr>
            <w:tcW w:w="515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智慧航道项目包括码头、防波堤、护岸、船闸、服务区、锚地、海上灯塔、航标、海上风电、海岸与近海工程、通航建筑设备机电、河海航道整治与渠化、疏浚与吹填造地等设施的智慧化升级改造。内容涵盖智能设施基础建设（如基础开挖、管线铺设、绿化恢复等）、智能设备采购与安装（雷达、传感器、物联网终端等）、自动化设备与系统升级（如自动化装卸设备、智能调度平台）、数据采集、处理与共享（通过大数据和云计算实现实时数据处理与跨部门信息集成）、智能化技术实施与维护、核心算法开发（如船舶调度、航道优化、船闸管理）、智慧港航设施运维与SaaS服务、相关人员培训与技术转移、安全与风险管理以及智能设施设备保险服务等。</w:t>
            </w:r>
          </w:p>
        </w:tc>
        <w:tc>
          <w:tcPr>
            <w:tcW w:w="2864" w:type="dxa"/>
            <w:vAlign w:val="center"/>
          </w:tcPr>
          <w:p>
            <w:pPr>
              <w:jc w:val="both"/>
              <w:rPr>
                <w:rFonts w:hint="default" w:ascii="Times New Roman" w:hAnsi="Times New Roman" w:eastAsia="仿宋" w:cs="Times New Roman"/>
                <w:sz w:val="24"/>
                <w:szCs w:val="24"/>
                <w:vertAlign w:val="baseline"/>
                <w:lang w:val="en-US" w:eastAsia="zh-CN"/>
              </w:rPr>
            </w:pPr>
          </w:p>
        </w:tc>
        <w:tc>
          <w:tcPr>
            <w:tcW w:w="2245"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trPr>
        <w:tc>
          <w:tcPr>
            <w:tcW w:w="896" w:type="dxa"/>
            <w:vAlign w:val="center"/>
          </w:tcPr>
          <w:p>
            <w:pPr>
              <w:jc w:val="center"/>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sz w:val="24"/>
                <w:szCs w:val="24"/>
                <w:vertAlign w:val="baseline"/>
                <w:lang w:val="en-US" w:eastAsia="zh-CN"/>
              </w:rPr>
              <w:t>15</w:t>
            </w:r>
          </w:p>
        </w:tc>
        <w:tc>
          <w:tcPr>
            <w:tcW w:w="1897"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应急救灾物资交易</w:t>
            </w:r>
          </w:p>
        </w:tc>
        <w:tc>
          <w:tcPr>
            <w:tcW w:w="1050" w:type="dxa"/>
            <w:vAlign w:val="center"/>
          </w:tcPr>
          <w:p>
            <w:pPr>
              <w:jc w:val="center"/>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sz w:val="24"/>
                <w:szCs w:val="24"/>
                <w:vertAlign w:val="baseline"/>
                <w:lang w:val="en-US" w:eastAsia="zh-CN"/>
              </w:rPr>
              <w:t>15.1</w:t>
            </w:r>
          </w:p>
        </w:tc>
        <w:tc>
          <w:tcPr>
            <w:tcW w:w="1814" w:type="dxa"/>
            <w:vAlign w:val="center"/>
          </w:tcPr>
          <w:p>
            <w:pPr>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市级应急救灾物资轮换</w:t>
            </w:r>
          </w:p>
        </w:tc>
        <w:tc>
          <w:tcPr>
            <w:tcW w:w="5154" w:type="dxa"/>
            <w:vAlign w:val="center"/>
          </w:tcPr>
          <w:p>
            <w:pPr>
              <w:jc w:val="both"/>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接近正常储备年限的市级应急救灾物资市场化轮换。</w:t>
            </w:r>
          </w:p>
        </w:tc>
        <w:tc>
          <w:tcPr>
            <w:tcW w:w="2864" w:type="dxa"/>
            <w:vAlign w:val="center"/>
          </w:tcPr>
          <w:p>
            <w:pPr>
              <w:jc w:val="both"/>
              <w:rPr>
                <w:rFonts w:hint="default" w:ascii="Times New Roman" w:hAnsi="Times New Roman" w:eastAsia="仿宋" w:cs="Times New Roman"/>
                <w:sz w:val="24"/>
                <w:szCs w:val="24"/>
                <w:vertAlign w:val="baseline"/>
                <w:lang w:val="en-US" w:eastAsia="zh-CN"/>
              </w:rPr>
            </w:pPr>
          </w:p>
        </w:tc>
        <w:tc>
          <w:tcPr>
            <w:tcW w:w="2245"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市粮食物资储备局</w:t>
            </w:r>
          </w:p>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市应急局</w:t>
            </w:r>
          </w:p>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8" w:hRule="atLeast"/>
        </w:trPr>
        <w:tc>
          <w:tcPr>
            <w:tcW w:w="896"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16</w:t>
            </w:r>
          </w:p>
        </w:tc>
        <w:tc>
          <w:tcPr>
            <w:tcW w:w="1897"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特许经营权</w:t>
            </w:r>
          </w:p>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授予</w:t>
            </w:r>
          </w:p>
        </w:tc>
        <w:tc>
          <w:tcPr>
            <w:tcW w:w="1050"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16.1</w:t>
            </w:r>
          </w:p>
        </w:tc>
        <w:tc>
          <w:tcPr>
            <w:tcW w:w="1814"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基础设施和公用事业特许经营</w:t>
            </w:r>
          </w:p>
        </w:tc>
        <w:tc>
          <w:tcPr>
            <w:tcW w:w="5154"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管道供气、集中供热、垃圾处理权交易。</w:t>
            </w:r>
          </w:p>
        </w:tc>
        <w:tc>
          <w:tcPr>
            <w:tcW w:w="2864" w:type="dxa"/>
            <w:vAlign w:val="center"/>
          </w:tcPr>
          <w:p>
            <w:pPr>
              <w:jc w:val="both"/>
              <w:rPr>
                <w:rFonts w:hint="default" w:ascii="Times New Roman" w:hAnsi="Times New Roman" w:eastAsia="仿宋" w:cs="Times New Roman"/>
                <w:sz w:val="24"/>
                <w:szCs w:val="24"/>
                <w:vertAlign w:val="baseline"/>
                <w:lang w:val="en-US" w:eastAsia="zh-CN"/>
              </w:rPr>
            </w:pPr>
          </w:p>
        </w:tc>
        <w:tc>
          <w:tcPr>
            <w:tcW w:w="2245" w:type="dxa"/>
            <w:vAlign w:val="center"/>
          </w:tcPr>
          <w:p>
            <w:pPr>
              <w:shd w:val="clea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市住房城乡建设</w:t>
            </w:r>
          </w:p>
          <w:p>
            <w:pPr>
              <w:shd w:val="clea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管理委</w:t>
            </w:r>
          </w:p>
          <w:p>
            <w:pPr>
              <w:shd w:val="clea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市绿化市容局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trPr>
        <w:tc>
          <w:tcPr>
            <w:tcW w:w="896" w:type="dxa"/>
            <w:vMerge w:val="continue"/>
            <w:vAlign w:val="center"/>
          </w:tcPr>
          <w:p>
            <w:pPr>
              <w:jc w:val="center"/>
              <w:rPr>
                <w:rFonts w:hint="default" w:ascii="Times New Roman" w:hAnsi="Times New Roman" w:eastAsia="仿宋" w:cs="Times New Roman"/>
                <w:kern w:val="2"/>
                <w:sz w:val="24"/>
                <w:szCs w:val="24"/>
                <w:vertAlign w:val="baseline"/>
                <w:lang w:val="en-US" w:eastAsia="zh-CN" w:bidi="ar-SA"/>
              </w:rPr>
            </w:pPr>
          </w:p>
        </w:tc>
        <w:tc>
          <w:tcPr>
            <w:tcW w:w="1897"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050"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16.2</w:t>
            </w:r>
          </w:p>
        </w:tc>
        <w:tc>
          <w:tcPr>
            <w:tcW w:w="1814"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公园服务配套设施经营权</w:t>
            </w:r>
          </w:p>
        </w:tc>
        <w:tc>
          <w:tcPr>
            <w:tcW w:w="5154"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公园服务配套设施经营权。</w:t>
            </w:r>
          </w:p>
        </w:tc>
        <w:tc>
          <w:tcPr>
            <w:tcW w:w="28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公园”是指本市城市公园、口袋公园、休闲森林公园（本市郊野公园、公共绿地等配套服务项目管理参照执行），配套服务项目主要包括餐饮服务、零售服务、游览服务、游艺服务、体育健身服务、文化休闲服务等。</w:t>
            </w:r>
          </w:p>
        </w:tc>
        <w:tc>
          <w:tcPr>
            <w:tcW w:w="2245"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市绿化市容局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trPr>
        <w:tc>
          <w:tcPr>
            <w:tcW w:w="89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897"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050"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16.3</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政府举办的体育赛事承办运营权等交易</w:t>
            </w:r>
          </w:p>
        </w:tc>
        <w:tc>
          <w:tcPr>
            <w:tcW w:w="5154"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政府举办的体育赛事承办运营权、冠名权、赞助权、转播权等交易。</w:t>
            </w:r>
          </w:p>
        </w:tc>
        <w:tc>
          <w:tcPr>
            <w:tcW w:w="2864" w:type="dxa"/>
            <w:vAlign w:val="center"/>
          </w:tcPr>
          <w:p>
            <w:pPr>
              <w:jc w:val="both"/>
              <w:rPr>
                <w:rFonts w:hint="default" w:ascii="Times New Roman" w:hAnsi="Times New Roman" w:eastAsia="仿宋" w:cs="Times New Roman"/>
                <w:sz w:val="24"/>
                <w:szCs w:val="24"/>
                <w:vertAlign w:val="baseline"/>
                <w:lang w:val="en-US" w:eastAsia="zh-CN"/>
              </w:rPr>
            </w:pPr>
          </w:p>
        </w:tc>
        <w:tc>
          <w:tcPr>
            <w:tcW w:w="2245" w:type="dxa"/>
            <w:vMerge w:val="restart"/>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 w:hRule="atLeast"/>
        </w:trPr>
        <w:tc>
          <w:tcPr>
            <w:tcW w:w="896"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897"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c>
          <w:tcPr>
            <w:tcW w:w="1050"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16.4</w:t>
            </w:r>
          </w:p>
        </w:tc>
        <w:tc>
          <w:tcPr>
            <w:tcW w:w="1814"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公共体育场馆建设、运营权等交易</w:t>
            </w:r>
          </w:p>
        </w:tc>
        <w:tc>
          <w:tcPr>
            <w:tcW w:w="5154"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各类权属归政府所有的体育场地、体育场馆的建设、运营权等公开招募。</w:t>
            </w:r>
          </w:p>
        </w:tc>
        <w:tc>
          <w:tcPr>
            <w:tcW w:w="2864" w:type="dxa"/>
            <w:vAlign w:val="center"/>
          </w:tcPr>
          <w:p>
            <w:pPr>
              <w:jc w:val="both"/>
              <w:rPr>
                <w:rFonts w:hint="default" w:ascii="Times New Roman" w:hAnsi="Times New Roman" w:eastAsia="仿宋" w:cs="Times New Roman"/>
                <w:sz w:val="24"/>
                <w:szCs w:val="24"/>
                <w:vertAlign w:val="baseline"/>
                <w:lang w:val="en-US" w:eastAsia="zh-CN"/>
              </w:rPr>
            </w:pPr>
          </w:p>
        </w:tc>
        <w:tc>
          <w:tcPr>
            <w:tcW w:w="2245" w:type="dxa"/>
            <w:vMerge w:val="continue"/>
            <w:vAlign w:val="center"/>
          </w:tcPr>
          <w:p>
            <w:pPr>
              <w:jc w:val="center"/>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5" w:hRule="atLeast"/>
        </w:trPr>
        <w:tc>
          <w:tcPr>
            <w:tcW w:w="896"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17</w:t>
            </w:r>
          </w:p>
        </w:tc>
        <w:tc>
          <w:tcPr>
            <w:tcW w:w="1897"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color w:val="000000"/>
                <w:sz w:val="24"/>
                <w:szCs w:val="28"/>
                <w:lang w:val="en-US" w:eastAsia="zh-CN"/>
              </w:rPr>
              <w:t>涉农产权流转交易</w:t>
            </w:r>
          </w:p>
        </w:tc>
        <w:tc>
          <w:tcPr>
            <w:tcW w:w="1050"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17.1</w:t>
            </w:r>
          </w:p>
        </w:tc>
        <w:tc>
          <w:tcPr>
            <w:tcW w:w="1814"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napToGrid w:val="0"/>
                <w:color w:val="000000"/>
                <w:kern w:val="0"/>
                <w:sz w:val="24"/>
                <w:szCs w:val="28"/>
                <w:lang w:val="en-US" w:eastAsia="zh-CN" w:bidi="ar-SA"/>
              </w:rPr>
              <w:t>农村村民和非集体经济组织经营主体拥有的涉农产权</w:t>
            </w:r>
          </w:p>
        </w:tc>
        <w:tc>
          <w:tcPr>
            <w:tcW w:w="5154" w:type="dxa"/>
            <w:vAlign w:val="center"/>
          </w:tcPr>
          <w:p>
            <w:pPr>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农村村民闲置宅基地房屋租赁和家庭农村、农民专业合作社、涉农企业、其它社会主体拥有的涉农产权进场交易。</w:t>
            </w:r>
          </w:p>
        </w:tc>
        <w:tc>
          <w:tcPr>
            <w:tcW w:w="2864" w:type="dxa"/>
            <w:vAlign w:val="center"/>
          </w:tcPr>
          <w:p>
            <w:pPr>
              <w:jc w:val="both"/>
              <w:rPr>
                <w:rFonts w:hint="default" w:ascii="Times New Roman" w:hAnsi="Times New Roman" w:eastAsia="仿宋" w:cs="Times New Roman"/>
                <w:sz w:val="24"/>
                <w:szCs w:val="24"/>
                <w:vertAlign w:val="baseline"/>
                <w:lang w:val="en-US" w:eastAsia="zh-CN"/>
              </w:rPr>
            </w:pPr>
          </w:p>
        </w:tc>
        <w:tc>
          <w:tcPr>
            <w:tcW w:w="2245" w:type="dxa"/>
            <w:vAlign w:val="center"/>
          </w:tcPr>
          <w:p>
            <w:pPr>
              <w:spacing w:before="223" w:line="257" w:lineRule="auto"/>
              <w:ind w:right="3"/>
              <w:jc w:val="center"/>
              <w:rPr>
                <w:rFonts w:hint="default" w:ascii="Times New Roman" w:hAnsi="Times New Roman" w:eastAsia="仿宋" w:cs="Times New Roman"/>
                <w:color w:val="000000"/>
                <w:kern w:val="2"/>
                <w:sz w:val="24"/>
                <w:szCs w:val="28"/>
                <w:lang w:val="en-US" w:eastAsia="zh-CN" w:bidi="ar-SA"/>
              </w:rPr>
            </w:pPr>
            <w:r>
              <w:rPr>
                <w:rFonts w:hint="default" w:ascii="Times New Roman" w:hAnsi="Times New Roman" w:eastAsia="仿宋" w:cs="Times New Roman"/>
                <w:color w:val="000000"/>
                <w:sz w:val="24"/>
                <w:szCs w:val="28"/>
                <w:lang w:val="en-US" w:eastAsia="zh-CN"/>
              </w:rPr>
              <w:t>市农业农村委</w:t>
            </w:r>
          </w:p>
        </w:tc>
      </w:tr>
    </w:tbl>
    <w:p>
      <w:pPr>
        <w:jc w:val="both"/>
        <w:rPr>
          <w:rFonts w:hint="default" w:ascii="Times New Roman" w:hAnsi="Times New Roman" w:eastAsia="仿宋" w:cs="Times New Roman"/>
          <w:sz w:val="24"/>
          <w:szCs w:val="24"/>
          <w:lang w:val="en-US" w:eastAsia="zh-CN"/>
        </w:rPr>
      </w:pPr>
    </w:p>
    <w:sectPr>
      <w:pgSz w:w="16838" w:h="11906" w:orient="landscape"/>
      <w:pgMar w:top="1134" w:right="567" w:bottom="1134" w:left="567"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Arial"/>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jc2OTM4YmRjMWI2YzllZjVhZDE2YWEzMzBkMzQifQ=="/>
  </w:docVars>
  <w:rsids>
    <w:rsidRoot w:val="4D691E82"/>
    <w:rsid w:val="03CC5D27"/>
    <w:rsid w:val="0EDF4784"/>
    <w:rsid w:val="11FF5D38"/>
    <w:rsid w:val="174F9DEE"/>
    <w:rsid w:val="18FEE0D2"/>
    <w:rsid w:val="1AC45552"/>
    <w:rsid w:val="1D036806"/>
    <w:rsid w:val="1DDFE60D"/>
    <w:rsid w:val="1E4D682F"/>
    <w:rsid w:val="1EBF4351"/>
    <w:rsid w:val="1F7A74A3"/>
    <w:rsid w:val="1FC702F2"/>
    <w:rsid w:val="1FDF7464"/>
    <w:rsid w:val="1FFEFBF1"/>
    <w:rsid w:val="25AF7C37"/>
    <w:rsid w:val="26B1342E"/>
    <w:rsid w:val="26BC71FD"/>
    <w:rsid w:val="278C73F8"/>
    <w:rsid w:val="27A30A5D"/>
    <w:rsid w:val="286BF5E7"/>
    <w:rsid w:val="29DCBF3C"/>
    <w:rsid w:val="2D77D852"/>
    <w:rsid w:val="347707F8"/>
    <w:rsid w:val="355EF43D"/>
    <w:rsid w:val="36FF3699"/>
    <w:rsid w:val="37986C40"/>
    <w:rsid w:val="37AFD20B"/>
    <w:rsid w:val="37DDDDF6"/>
    <w:rsid w:val="37EFFB69"/>
    <w:rsid w:val="37F3787C"/>
    <w:rsid w:val="390A663C"/>
    <w:rsid w:val="3AE0388B"/>
    <w:rsid w:val="3BD19990"/>
    <w:rsid w:val="3C79EDF5"/>
    <w:rsid w:val="3D7FA21C"/>
    <w:rsid w:val="3DE9D045"/>
    <w:rsid w:val="3E6B3F12"/>
    <w:rsid w:val="3ED737CB"/>
    <w:rsid w:val="3EDFD7E4"/>
    <w:rsid w:val="3F637E6B"/>
    <w:rsid w:val="3F768FE3"/>
    <w:rsid w:val="3F77D222"/>
    <w:rsid w:val="3F7ED872"/>
    <w:rsid w:val="3FCF7584"/>
    <w:rsid w:val="3FE375CB"/>
    <w:rsid w:val="3FEEC808"/>
    <w:rsid w:val="3FF8B909"/>
    <w:rsid w:val="447C2876"/>
    <w:rsid w:val="4631143E"/>
    <w:rsid w:val="46D06EA9"/>
    <w:rsid w:val="47B2035D"/>
    <w:rsid w:val="4C5FB099"/>
    <w:rsid w:val="4C9DCE87"/>
    <w:rsid w:val="4D130398"/>
    <w:rsid w:val="4D691E82"/>
    <w:rsid w:val="4FFFCB6A"/>
    <w:rsid w:val="55DF3C39"/>
    <w:rsid w:val="57DCAB08"/>
    <w:rsid w:val="59305585"/>
    <w:rsid w:val="5BBF93E2"/>
    <w:rsid w:val="5C133668"/>
    <w:rsid w:val="5D7327BA"/>
    <w:rsid w:val="5E260208"/>
    <w:rsid w:val="5EFF239A"/>
    <w:rsid w:val="5EFF8105"/>
    <w:rsid w:val="5F3BB243"/>
    <w:rsid w:val="5F4F5744"/>
    <w:rsid w:val="5F4F626B"/>
    <w:rsid w:val="5F5F3B1A"/>
    <w:rsid w:val="5F6BD367"/>
    <w:rsid w:val="5F78EA9D"/>
    <w:rsid w:val="5F79F375"/>
    <w:rsid w:val="5F7ECCAB"/>
    <w:rsid w:val="5FA37DF6"/>
    <w:rsid w:val="5FB5FED5"/>
    <w:rsid w:val="5FCFBF44"/>
    <w:rsid w:val="5FDFC081"/>
    <w:rsid w:val="5FFFFB69"/>
    <w:rsid w:val="630E149B"/>
    <w:rsid w:val="651F2428"/>
    <w:rsid w:val="656B0320"/>
    <w:rsid w:val="66F4E648"/>
    <w:rsid w:val="687DC50E"/>
    <w:rsid w:val="6AFFBB7D"/>
    <w:rsid w:val="6B766600"/>
    <w:rsid w:val="6BCC7390"/>
    <w:rsid w:val="6DBF72F1"/>
    <w:rsid w:val="6DDAD496"/>
    <w:rsid w:val="6E6343CE"/>
    <w:rsid w:val="6EDD95AF"/>
    <w:rsid w:val="6EFB01A1"/>
    <w:rsid w:val="6EFFA877"/>
    <w:rsid w:val="6F5802FD"/>
    <w:rsid w:val="6FBFD7A6"/>
    <w:rsid w:val="6FDFC3FF"/>
    <w:rsid w:val="6FEAC6FA"/>
    <w:rsid w:val="6FEBA9D5"/>
    <w:rsid w:val="6FF651BD"/>
    <w:rsid w:val="6FFE6E38"/>
    <w:rsid w:val="6FFE7507"/>
    <w:rsid w:val="72DDD78B"/>
    <w:rsid w:val="73663019"/>
    <w:rsid w:val="739BA8E6"/>
    <w:rsid w:val="73F8CECA"/>
    <w:rsid w:val="73FBBCF3"/>
    <w:rsid w:val="7486193A"/>
    <w:rsid w:val="74EA13D0"/>
    <w:rsid w:val="75EDF2A4"/>
    <w:rsid w:val="777FAD7E"/>
    <w:rsid w:val="77B6A466"/>
    <w:rsid w:val="77CC7CEF"/>
    <w:rsid w:val="77FFECF2"/>
    <w:rsid w:val="78F9C52F"/>
    <w:rsid w:val="797AA926"/>
    <w:rsid w:val="79BF1A95"/>
    <w:rsid w:val="7AFF281E"/>
    <w:rsid w:val="7AFF3855"/>
    <w:rsid w:val="7B6E798E"/>
    <w:rsid w:val="7BBD420A"/>
    <w:rsid w:val="7BF5091E"/>
    <w:rsid w:val="7BFF50B9"/>
    <w:rsid w:val="7C7E5397"/>
    <w:rsid w:val="7D7B7C31"/>
    <w:rsid w:val="7DBB96D8"/>
    <w:rsid w:val="7DDF49EC"/>
    <w:rsid w:val="7DE6EB03"/>
    <w:rsid w:val="7DF0C366"/>
    <w:rsid w:val="7DF71FC6"/>
    <w:rsid w:val="7DFDC259"/>
    <w:rsid w:val="7DFF0F85"/>
    <w:rsid w:val="7E7283BB"/>
    <w:rsid w:val="7E97500F"/>
    <w:rsid w:val="7E9F1AE8"/>
    <w:rsid w:val="7EAA0543"/>
    <w:rsid w:val="7ED9ABA1"/>
    <w:rsid w:val="7EF61BA9"/>
    <w:rsid w:val="7EF7BCA1"/>
    <w:rsid w:val="7F2BA403"/>
    <w:rsid w:val="7F4F0667"/>
    <w:rsid w:val="7F4F3375"/>
    <w:rsid w:val="7F630968"/>
    <w:rsid w:val="7F7BD608"/>
    <w:rsid w:val="7F8F5D32"/>
    <w:rsid w:val="7FBCA030"/>
    <w:rsid w:val="7FC5C8DD"/>
    <w:rsid w:val="7FDF2E35"/>
    <w:rsid w:val="7FDFC5B5"/>
    <w:rsid w:val="7FDFD9C6"/>
    <w:rsid w:val="7FEC28D1"/>
    <w:rsid w:val="7FF5BCFD"/>
    <w:rsid w:val="7FF5DB74"/>
    <w:rsid w:val="7FF7BB09"/>
    <w:rsid w:val="7FFC9918"/>
    <w:rsid w:val="7FFD7CAA"/>
    <w:rsid w:val="7FFF8CD3"/>
    <w:rsid w:val="8B51D473"/>
    <w:rsid w:val="8BF73BBF"/>
    <w:rsid w:val="8F7F3F74"/>
    <w:rsid w:val="96B32E74"/>
    <w:rsid w:val="9AFD0194"/>
    <w:rsid w:val="9BFCAD59"/>
    <w:rsid w:val="9EFB5604"/>
    <w:rsid w:val="9F76117B"/>
    <w:rsid w:val="A3B76A46"/>
    <w:rsid w:val="A5D7914E"/>
    <w:rsid w:val="A773195A"/>
    <w:rsid w:val="A94EB599"/>
    <w:rsid w:val="ACFFC207"/>
    <w:rsid w:val="AEF3154C"/>
    <w:rsid w:val="AF5FC6D8"/>
    <w:rsid w:val="AFFE0908"/>
    <w:rsid w:val="B2FEE37D"/>
    <w:rsid w:val="B3BE212D"/>
    <w:rsid w:val="B57E6288"/>
    <w:rsid w:val="B6FDE9C8"/>
    <w:rsid w:val="B7BCB442"/>
    <w:rsid w:val="BAC3705D"/>
    <w:rsid w:val="BB6EEE2F"/>
    <w:rsid w:val="BBBBA2EC"/>
    <w:rsid w:val="BBFDF776"/>
    <w:rsid w:val="BBFFAC1E"/>
    <w:rsid w:val="BD778643"/>
    <w:rsid w:val="BDBFA2C6"/>
    <w:rsid w:val="BE5FF40A"/>
    <w:rsid w:val="BF37EB21"/>
    <w:rsid w:val="BF7FFA38"/>
    <w:rsid w:val="BF91CD9A"/>
    <w:rsid w:val="BF930E39"/>
    <w:rsid w:val="BFB7D90D"/>
    <w:rsid w:val="BFFBEA3D"/>
    <w:rsid w:val="BFFEA561"/>
    <w:rsid w:val="BFFFDA01"/>
    <w:rsid w:val="C5F97F2C"/>
    <w:rsid w:val="CABF57AC"/>
    <w:rsid w:val="CBF36A5C"/>
    <w:rsid w:val="CBFBB338"/>
    <w:rsid w:val="CCFDBD37"/>
    <w:rsid w:val="CD9EC4EB"/>
    <w:rsid w:val="CE7FEA5D"/>
    <w:rsid w:val="D575EB3A"/>
    <w:rsid w:val="D6ABCF49"/>
    <w:rsid w:val="D792E1D5"/>
    <w:rsid w:val="D7EFFF09"/>
    <w:rsid w:val="D8AE46B6"/>
    <w:rsid w:val="D9B5F17A"/>
    <w:rsid w:val="DDDFB75F"/>
    <w:rsid w:val="DEB7789F"/>
    <w:rsid w:val="DF9E331D"/>
    <w:rsid w:val="E4E927C1"/>
    <w:rsid w:val="E4F3E4E6"/>
    <w:rsid w:val="E5B31CBA"/>
    <w:rsid w:val="E72755BD"/>
    <w:rsid w:val="E7FEA29B"/>
    <w:rsid w:val="E9FBD860"/>
    <w:rsid w:val="E9FF125A"/>
    <w:rsid w:val="EA7534C3"/>
    <w:rsid w:val="EB7FA67F"/>
    <w:rsid w:val="EDD57368"/>
    <w:rsid w:val="EDEFB5F7"/>
    <w:rsid w:val="EDFB5AD8"/>
    <w:rsid w:val="EE372C24"/>
    <w:rsid w:val="EEB8A6E9"/>
    <w:rsid w:val="EEDA5E6E"/>
    <w:rsid w:val="EEFC0130"/>
    <w:rsid w:val="EEFF865C"/>
    <w:rsid w:val="EF2F0A05"/>
    <w:rsid w:val="EF3FEF3A"/>
    <w:rsid w:val="EF6EF093"/>
    <w:rsid w:val="EFBD768A"/>
    <w:rsid w:val="EFCF74D1"/>
    <w:rsid w:val="EFEF0A84"/>
    <w:rsid w:val="EFFC23A6"/>
    <w:rsid w:val="EFFCFE4A"/>
    <w:rsid w:val="F2B78742"/>
    <w:rsid w:val="F5BE46EA"/>
    <w:rsid w:val="F5BF0CC7"/>
    <w:rsid w:val="F6F667FD"/>
    <w:rsid w:val="F76E44B3"/>
    <w:rsid w:val="F79BB041"/>
    <w:rsid w:val="F7CB56E9"/>
    <w:rsid w:val="F7FDFAA0"/>
    <w:rsid w:val="F7FFEDA8"/>
    <w:rsid w:val="F8BDEA79"/>
    <w:rsid w:val="F9177CA4"/>
    <w:rsid w:val="FADFF0F3"/>
    <w:rsid w:val="FB3A884A"/>
    <w:rsid w:val="FB774B80"/>
    <w:rsid w:val="FBD72FDB"/>
    <w:rsid w:val="FBEF1A7B"/>
    <w:rsid w:val="FBF72FAC"/>
    <w:rsid w:val="FBFB5262"/>
    <w:rsid w:val="FBFD9650"/>
    <w:rsid w:val="FCF7C93D"/>
    <w:rsid w:val="FD5D02F8"/>
    <w:rsid w:val="FD7FB478"/>
    <w:rsid w:val="FDDD2908"/>
    <w:rsid w:val="FDE6883F"/>
    <w:rsid w:val="FDEF36E9"/>
    <w:rsid w:val="FDFF15F6"/>
    <w:rsid w:val="FDFFA43A"/>
    <w:rsid w:val="FE0FAADB"/>
    <w:rsid w:val="FE4B9586"/>
    <w:rsid w:val="FE567B69"/>
    <w:rsid w:val="FE5F76F9"/>
    <w:rsid w:val="FEC97BC0"/>
    <w:rsid w:val="FECC3CA7"/>
    <w:rsid w:val="FEF79875"/>
    <w:rsid w:val="FEFE884D"/>
    <w:rsid w:val="FEFF4B9F"/>
    <w:rsid w:val="FF1E5ADA"/>
    <w:rsid w:val="FF1EE70E"/>
    <w:rsid w:val="FF7FA9B9"/>
    <w:rsid w:val="FFBDC520"/>
    <w:rsid w:val="FFD6EBB4"/>
    <w:rsid w:val="FFDD39F7"/>
    <w:rsid w:val="FFDFA838"/>
    <w:rsid w:val="FFF75B39"/>
    <w:rsid w:val="FFFB42E0"/>
    <w:rsid w:val="FFFD51C5"/>
    <w:rsid w:val="FFFE7702"/>
    <w:rsid w:val="FFFF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60"/>
      <w:ind w:left="72" w:leftChars="30" w:right="72" w:rightChars="30"/>
      <w:jc w:val="center"/>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qFormat/>
    <w:uiPriority w:val="0"/>
    <w:pPr>
      <w:ind w:firstLine="1840"/>
    </w:p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
    <w:name w:val="Table Normal"/>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6812</Words>
  <Characters>7208</Characters>
  <Lines>0</Lines>
  <Paragraphs>0</Paragraphs>
  <TotalTime>170</TotalTime>
  <ScaleCrop>false</ScaleCrop>
  <LinksUpToDate>false</LinksUpToDate>
  <CharactersWithSpaces>7227</CharactersWithSpaces>
  <Application>WPS Office_10.1.0.8067_F1E327BC-269C-435d-A152-05C5408002CA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2024-11-22T11:21:00Z</dcterms:created>
  <dc:creator>Ian</dc:creator>
  <cp:lastModifiedBy>赵德明</cp:lastModifiedBy>
  <cp:lastPrinted>2024-12-17T00:48:00Z</cp:lastPrinted>
  <dcterms:modified xsi:type="dcterms:W3CDTF">2024-12-17T14:14:24Z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2052-10.1.0.8067</vt:lpwstr>
  </property>
  <property fmtid="{D5CDD505-2E9C-101B-9397-08002B2CF9AE}" pid="3" name="ICV">
    <vt:lpwstr>AA063B3BA3CA451CA8F5573134837902_11</vt:lpwstr>
  </property>
</Properties>
</file>