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0" w:name="_Toc16332"/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="157" w:afterLines="50" w:line="560" w:lineRule="exact"/>
        <w:jc w:val="center"/>
        <w:textAlignment w:val="auto"/>
        <w:outlineLvl w:val="0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八、支持工业企业加快升级发展的实施细则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对2023年首次成为规模以上工业企业以及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工业总产值首次突破一定规模的重点企业给予奖励。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（一）支持对象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宝山区规模以上工业企业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（二）支持标准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none"/>
          <w:lang w:val="en-US" w:eastAsia="zh-CN" w:bidi="ar-SA"/>
        </w:rPr>
        <w:t>支持龙头企业升级扩容，对2023年首次成为规模以上工业企业，给予一次性奖励5万元；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对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工业总产值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首次突破5000万元、1亿元、2亿元、3亿元的重点企业分别给予20万元、30万元、40万元、50万元一次性奖励；每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年净增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亿元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及以上，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给予一次性奖励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0万元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；净增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3亿元及以上，给予奖励50万元，净增6亿元及以上，给予奖励100万元。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已申报通过《宝山区加快经济恢复重振 加快推进北转型实施方案》第17条“鼓励工业企业复工达产扩大规模”政策的企业不重复申报。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宝山区助行业强主体稳增长政策资金申请表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（四）申报流程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项目申报采取全程网办方式。企业在申报期内进行网上自主申报。区经委通过审核，对申报材料不符合要求或缺少相关内容的，将予以退回或要求申报企业在限定时间内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补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申报网址：登陆一网通办宝山频道点击宝你惠政策直通车，在“产业做优做强”栏目中选择鼓励企业做大做强条目（编号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III-3-1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）进行申报。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项目经网上初审后，由区经委按照一般程序开展审核。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（五）受理单位及联系方式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宝山区经济委员会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刘老师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66786231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宝山区友谊支路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175号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liuyichen@baoshan.sh.cn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ZjU2MGFlNzJmY2Q4OWQ0ZjIwOGI2N2JmZTMxZWQifQ=="/>
  </w:docVars>
  <w:rsids>
    <w:rsidRoot w:val="6BA167AB"/>
    <w:rsid w:val="409802D4"/>
    <w:rsid w:val="6BA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ind w:firstLine="184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543</Words>
  <Characters>598</Characters>
  <Lines>0</Lines>
  <Paragraphs>0</Paragraphs>
  <TotalTime>0</TotalTime>
  <ScaleCrop>false</ScaleCrop>
  <LinksUpToDate>false</LinksUpToDate>
  <CharactersWithSpaces>599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2022-11-25T14:23:00Z</dcterms:created>
  <dc:creator>丁丁</dc:creator>
  <cp:lastModifiedBy>丁丁</cp:lastModifiedBy>
  <dcterms:modified xsi:type="dcterms:W3CDTF">2022-11-26T01:19:44Z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FBC88AAC942143EBA022D60BD518ABBB</vt:lpwstr>
  </property>
</Properties>
</file>