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12A7">
      <w:pPr>
        <w:pStyle w:val="6"/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7D5AA657">
      <w:pPr>
        <w:pStyle w:val="6"/>
        <w:bidi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上海市</w:t>
      </w:r>
      <w:r>
        <w:rPr>
          <w:rFonts w:hint="eastAsia"/>
          <w:lang w:val="en-US" w:eastAsia="zh-CN"/>
        </w:rPr>
        <w:t>第六批</w:t>
      </w:r>
      <w:r>
        <w:rPr>
          <w:rFonts w:hint="eastAsia"/>
        </w:rPr>
        <w:t>能源领域首台（套）重大技术装备拟推荐项目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48"/>
        <w:gridCol w:w="2925"/>
        <w:gridCol w:w="1963"/>
      </w:tblGrid>
      <w:tr w14:paraId="48DE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8A86306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8" w:type="dxa"/>
            <w:vAlign w:val="center"/>
          </w:tcPr>
          <w:p w14:paraId="632B139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925" w:type="dxa"/>
            <w:vAlign w:val="center"/>
          </w:tcPr>
          <w:p w14:paraId="0B6A5EE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研制单位</w:t>
            </w:r>
          </w:p>
        </w:tc>
        <w:tc>
          <w:tcPr>
            <w:tcW w:w="1963" w:type="dxa"/>
            <w:vAlign w:val="center"/>
          </w:tcPr>
          <w:p w14:paraId="68841F9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用户单位</w:t>
            </w:r>
          </w:p>
        </w:tc>
      </w:tr>
      <w:tr w14:paraId="77BF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6" w:type="dxa"/>
            <w:vAlign w:val="center"/>
          </w:tcPr>
          <w:p w14:paraId="05A4BE2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8" w:type="dxa"/>
            <w:vAlign w:val="center"/>
          </w:tcPr>
          <w:p w14:paraId="7F01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MVar级空心环形超导并联电抗器</w:t>
            </w:r>
          </w:p>
        </w:tc>
        <w:tc>
          <w:tcPr>
            <w:tcW w:w="2925" w:type="dxa"/>
            <w:vAlign w:val="center"/>
          </w:tcPr>
          <w:p w14:paraId="2EA33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国网上海市电力公司、上海翌曦科技发展有限公司、上海交通大学、吴江变压器有限公司、浙江紫明低温科技有限公司</w:t>
            </w:r>
          </w:p>
        </w:tc>
        <w:tc>
          <w:tcPr>
            <w:tcW w:w="1963" w:type="dxa"/>
            <w:vAlign w:val="center"/>
          </w:tcPr>
          <w:p w14:paraId="4082C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国网上海市电力公司、上海久隆电力（集团）有限公司</w:t>
            </w:r>
          </w:p>
        </w:tc>
      </w:tr>
      <w:tr w14:paraId="3202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4E1620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8" w:type="dxa"/>
            <w:vAlign w:val="center"/>
          </w:tcPr>
          <w:p w14:paraId="7F8D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CX项目一期工程反应堆压力容器</w:t>
            </w:r>
          </w:p>
        </w:tc>
        <w:tc>
          <w:tcPr>
            <w:tcW w:w="2925" w:type="dxa"/>
            <w:vAlign w:val="center"/>
          </w:tcPr>
          <w:p w14:paraId="39396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上海电气核电设备有限公司、上海电气上重铸锻有限公司、清华大学核能与新能源技术研究院、中核山东核能有限公司、中核能源科技有限公司</w:t>
            </w:r>
          </w:p>
        </w:tc>
        <w:tc>
          <w:tcPr>
            <w:tcW w:w="1963" w:type="dxa"/>
            <w:vAlign w:val="center"/>
          </w:tcPr>
          <w:p w14:paraId="4BED8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中核山东核能有限公司、中核能源科技有限公司</w:t>
            </w:r>
          </w:p>
        </w:tc>
      </w:tr>
      <w:tr w14:paraId="686B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6F23C5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63D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原型动态柔性管缆拉-弯-高温-高压协同加载疲劳试验装置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806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A64C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D6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D12D48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041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石油化工难焊合金双波长增材制造专用装备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A3A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中石化上海工程有限公司、中国科学院重庆绿色智能技术研究院、上海金申德粉体工程有限公司、中国石化国际事业有限公司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910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上海金申德粉体工程有限公司</w:t>
            </w:r>
          </w:p>
        </w:tc>
      </w:tr>
      <w:tr w14:paraId="7CC0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F0CAA18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4E6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非侵入式电力二次系统实时采集与在线监控装备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CCC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国网上海市电力公司、南京南瑞信息通信科技有限公司、湖南匡安网络技术有限公司、杭州中电安科现代科技有限公司、北京升鑫网络科技有限公司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01F5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</w:t>
            </w:r>
          </w:p>
        </w:tc>
      </w:tr>
      <w:tr w14:paraId="5519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EA521F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6A9B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面向深远海风电的千方级PEM电解水制氢及储运成套装备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E77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上海氢晨新能源科技有限公司、浙江蓝能氢能科技股份有限公司、上海氢盛创合能源科技有限公司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C1EA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申能（集团）有限公司</w:t>
            </w:r>
          </w:p>
        </w:tc>
      </w:tr>
      <w:tr w14:paraId="0C2F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F68A256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38D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基于双向阻断全控器件的固态切换开关(SSTS)成套装置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A99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北京怀柔实验室、国网北京市电力公司、华北电力大学、国电南瑞南京控制系统有限公司、中国电力科学研究院有限公司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B0A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国网北京市电力公司、上海电气电力电子有限公司</w:t>
            </w:r>
          </w:p>
        </w:tc>
      </w:tr>
      <w:tr w14:paraId="41C0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BB5B15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C5A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锂离子电池早期故障氢敏监测系统与装备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7A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上海交通大学、国网上海市电力公司、电管家能源管理(上海)有限公司、湖南大学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A54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电管家能源管理(上海)有限公司、欣旺达电子股份有限公司、湖南交创科技有限公司</w:t>
            </w:r>
          </w:p>
        </w:tc>
      </w:tr>
      <w:tr w14:paraId="6A4D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F249C1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5361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燃机发电智能自主运行控制系统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12C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西安热工研究院有限公司、中国华能集团有限公司华东分公司、西安交通大学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7E14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华能上海燃机发电有限责任公司</w:t>
            </w:r>
          </w:p>
        </w:tc>
      </w:tr>
      <w:tr w14:paraId="7ECC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D8EC7E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3DA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大容量高密度镁基固态储运氢系统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E09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上海氢枫能源技术有限公司、上海交通大学、合肥通用机械研究院有限公司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E68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沙捞越能源有限公司SEDC Energy Sdn Bhd(SEDCE)</w:t>
            </w:r>
          </w:p>
        </w:tc>
      </w:tr>
      <w:tr w14:paraId="2726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6C1A732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CE5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适配塔式光热发电项目的高效灵活350MW三缸汽轮发电机组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A97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上海汽轮机厂有限公司、上海电气电站设备有限公司、浙江可胜技术股份有限公司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5BAA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青海亿储太阳能发电有限公司</w:t>
            </w:r>
          </w:p>
        </w:tc>
      </w:tr>
      <w:tr w14:paraId="5EF0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486EED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BCD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压水堆堆芯垢致功率偏移分析和燃料失效诊断装置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D27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上海交通大学、中广核苍南核电有限公司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ECBF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中广核苍南核电有限公司</w:t>
            </w:r>
          </w:p>
        </w:tc>
      </w:tr>
      <w:tr w14:paraId="0473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2654EA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FD5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高温气冷堆大气释放阀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9B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上海阀门厂股份有限公司、清华大学、中核能源科技有限公司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F03A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中核山东核能有限公司</w:t>
            </w:r>
          </w:p>
        </w:tc>
      </w:tr>
      <w:tr w14:paraId="3AE2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348B68D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99C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10kV阻抗隔离型多工况主动支撑电源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C90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国网上海市电力公司、中国电力科学研究院有限公司、华东电力试验研究院有限公司、上海思源弘瑞自动化有限公司、上海交通大学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71F3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国网上海市电力公司</w:t>
            </w:r>
          </w:p>
        </w:tc>
      </w:tr>
      <w:tr w14:paraId="7292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3E103FF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7CF0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熔盐储热耦合高温热泵蒸汽发生系统成套装备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4F6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上海电气集团股份有限公司、上海环保工程成套有限公司、青岛海尔开利冷冻设备有限公司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B4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上海京嵘科技有限公司、海恩斯莫里斯（上海）贸易有限公司</w:t>
            </w:r>
          </w:p>
        </w:tc>
      </w:tr>
    </w:tbl>
    <w:p w14:paraId="4C4355C5">
      <w:pPr>
        <w:pStyle w:val="6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058C4B3D"/>
    <w:rsid w:val="0AB66366"/>
    <w:rsid w:val="15D85C3D"/>
    <w:rsid w:val="17E022F4"/>
    <w:rsid w:val="1A5F0EA6"/>
    <w:rsid w:val="1A817876"/>
    <w:rsid w:val="1EF62C4E"/>
    <w:rsid w:val="201E7225"/>
    <w:rsid w:val="2D8F4BFF"/>
    <w:rsid w:val="30D36097"/>
    <w:rsid w:val="36BF52CF"/>
    <w:rsid w:val="38A67AAE"/>
    <w:rsid w:val="3B10419C"/>
    <w:rsid w:val="41F206AE"/>
    <w:rsid w:val="48161409"/>
    <w:rsid w:val="497479F1"/>
    <w:rsid w:val="52AE389B"/>
    <w:rsid w:val="665054B9"/>
    <w:rsid w:val="71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公文正文"/>
    <w:basedOn w:val="1"/>
    <w:qFormat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7">
    <w:name w:val="公文一级标题"/>
    <w:basedOn w:val="1"/>
    <w:next w:val="6"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8">
    <w:name w:val="公文段首楷体标题"/>
    <w:basedOn w:val="1"/>
    <w:next w:val="6"/>
    <w:link w:val="9"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9">
    <w:name w:val="公文段首楷体标题 Char"/>
    <w:link w:val="8"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10">
    <w:name w:val="公文标题"/>
    <w:basedOn w:val="1"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1118</Characters>
  <Lines>1</Lines>
  <Paragraphs>1</Paragraphs>
  <TotalTime>5</TotalTime>
  <ScaleCrop>false</ScaleCrop>
  <LinksUpToDate>false</LinksUpToDate>
  <CharactersWithSpaces>1118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2026-04-17T08:38:50Z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E605ECEB2E2B4FDBB939DC35B948BF9A_13</vt:lpwstr>
  </property>
  <property fmtid="{D5CDD505-2E9C-101B-9397-08002B2CF9AE}" pid="4" name="KSOTemplateDocerSaveRecord">
    <vt:lpwstr>eyJoZGlkIjoiNWU0YjM1YzUzNjYxZWU0OTVjZmIyNmZjMzlhYmZkYjEiLCJ1c2VySWQiOiIxMjAzMTcxOTUzIn0=</vt:lpwstr>
  </property>
</Properties>
</file>