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157" w:rsidRDefault="00085157">
      <w:pPr>
        <w:overflowPunct w:val="0"/>
        <w:spacing w:line="600" w:lineRule="exact"/>
        <w:rPr>
          <w:rFonts w:ascii="Times New Roman" w:eastAsia="楷体_GB2312" w:hAnsi="Times New Roman" w:cs="Times New Roman"/>
          <w:sz w:val="32"/>
          <w:szCs w:val="32"/>
        </w:rPr>
      </w:pPr>
    </w:p>
    <w:p w:rsidR="00085157" w:rsidRDefault="00085157">
      <w:pPr>
        <w:overflowPunct w:val="0"/>
        <w:spacing w:line="600" w:lineRule="exact"/>
        <w:jc w:val="center"/>
        <w:rPr>
          <w:rFonts w:ascii="Times New Roman" w:eastAsia="华文中宋" w:hAnsi="华文中宋" w:cs="Times New Roman"/>
          <w:b/>
          <w:sz w:val="36"/>
          <w:szCs w:val="36"/>
        </w:rPr>
      </w:pPr>
    </w:p>
    <w:p w:rsidR="00085157" w:rsidRDefault="00296100">
      <w:pPr>
        <w:overflowPunct w:val="0"/>
        <w:spacing w:line="600" w:lineRule="exact"/>
        <w:jc w:val="center"/>
        <w:rPr>
          <w:rFonts w:ascii="Times New Roman" w:eastAsia="华文中宋" w:hAnsi="Times New Roman" w:cs="Times New Roman"/>
          <w:b/>
          <w:sz w:val="36"/>
          <w:szCs w:val="36"/>
        </w:rPr>
      </w:pPr>
      <w:r>
        <w:rPr>
          <w:rFonts w:ascii="Times New Roman" w:eastAsia="华文中宋" w:hAnsi="华文中宋" w:cs="Times New Roman"/>
          <w:b/>
          <w:sz w:val="36"/>
          <w:szCs w:val="36"/>
        </w:rPr>
        <w:t>上海市公共资源交易目录</w:t>
      </w:r>
      <w:r>
        <w:rPr>
          <w:rFonts w:ascii="Times New Roman" w:eastAsia="华文中宋" w:hAnsi="华文中宋" w:cs="Times New Roman" w:hint="eastAsia"/>
          <w:b/>
          <w:sz w:val="36"/>
          <w:szCs w:val="36"/>
        </w:rPr>
        <w:t>（</w:t>
      </w:r>
      <w:r>
        <w:rPr>
          <w:rFonts w:ascii="Times New Roman" w:eastAsia="华文中宋" w:hAnsi="华文中宋" w:cs="Times New Roman" w:hint="eastAsia"/>
          <w:b/>
          <w:sz w:val="36"/>
          <w:szCs w:val="36"/>
        </w:rPr>
        <w:t>2020</w:t>
      </w:r>
      <w:r>
        <w:rPr>
          <w:rFonts w:ascii="Times New Roman" w:eastAsia="华文中宋" w:hAnsi="华文中宋" w:cs="Times New Roman" w:hint="eastAsia"/>
          <w:b/>
          <w:sz w:val="36"/>
          <w:szCs w:val="36"/>
        </w:rPr>
        <w:t>年版）</w:t>
      </w:r>
    </w:p>
    <w:p w:rsidR="00085157" w:rsidRDefault="00085157">
      <w:pPr>
        <w:overflowPunct w:val="0"/>
        <w:spacing w:line="600" w:lineRule="exact"/>
        <w:jc w:val="center"/>
        <w:rPr>
          <w:rFonts w:ascii="黑体" w:eastAsia="黑体" w:hAnsi="华文中宋" w:cs="Times New Roman"/>
          <w:b/>
          <w:sz w:val="36"/>
          <w:szCs w:val="36"/>
        </w:rPr>
      </w:pPr>
    </w:p>
    <w:p w:rsidR="00085157" w:rsidRDefault="00296100">
      <w:pPr>
        <w:overflowPunct w:val="0"/>
        <w:spacing w:line="600" w:lineRule="exact"/>
        <w:jc w:val="center"/>
        <w:rPr>
          <w:rFonts w:ascii="Times New Roman" w:eastAsia="仿宋_GB2312" w:hAnsi="Times New Roman" w:cs="Times New Roman"/>
          <w:sz w:val="32"/>
          <w:szCs w:val="32"/>
        </w:rPr>
      </w:pPr>
      <w:r>
        <w:rPr>
          <w:rFonts w:ascii="黑体" w:eastAsia="黑体" w:hAnsi="华文中宋" w:cs="Times New Roman" w:hint="eastAsia"/>
          <w:b/>
          <w:sz w:val="36"/>
          <w:szCs w:val="36"/>
        </w:rPr>
        <w:t>说  明</w:t>
      </w:r>
    </w:p>
    <w:p w:rsidR="00085157" w:rsidRDefault="00296100">
      <w:pPr>
        <w:overflowPunct w:val="0"/>
        <w:spacing w:line="60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一、</w:t>
      </w:r>
      <w:r>
        <w:rPr>
          <w:rFonts w:ascii="Times New Roman" w:eastAsia="仿宋_GB2312" w:hAnsi="Times New Roman" w:cs="Times New Roman"/>
          <w:sz w:val="32"/>
          <w:szCs w:val="32"/>
        </w:rPr>
        <w:t>本市公共资源交易实行目录管理，由市发展改革委会同有关部门</w:t>
      </w:r>
      <w:r>
        <w:rPr>
          <w:rFonts w:ascii="Times New Roman" w:eastAsia="仿宋_GB2312" w:hAnsi="Times New Roman" w:cs="Times New Roman" w:hint="eastAsia"/>
          <w:sz w:val="32"/>
          <w:szCs w:val="32"/>
        </w:rPr>
        <w:t>制订</w:t>
      </w:r>
      <w:r>
        <w:rPr>
          <w:rFonts w:ascii="Times New Roman" w:eastAsia="仿宋_GB2312" w:hAnsi="Times New Roman" w:cs="Times New Roman"/>
          <w:sz w:val="32"/>
          <w:szCs w:val="32"/>
        </w:rPr>
        <w:t>并发布实施。</w:t>
      </w:r>
    </w:p>
    <w:p w:rsidR="00085157" w:rsidRDefault="00296100">
      <w:pPr>
        <w:overflowPunct w:val="0"/>
        <w:spacing w:line="60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二、</w:t>
      </w:r>
      <w:r>
        <w:rPr>
          <w:rFonts w:ascii="Times New Roman" w:eastAsia="仿宋_GB2312" w:hAnsi="Times New Roman" w:cs="Times New Roman"/>
          <w:sz w:val="32"/>
          <w:szCs w:val="32"/>
        </w:rPr>
        <w:t>本目录所称公共资源交易，是指涉及公共利益、公众安全的具有公有性、公益性的资源交易活动，包括但不限于工程建设项目招标投标、土地使用权出让、国有产权交易、政府采购等。</w:t>
      </w:r>
    </w:p>
    <w:p w:rsidR="00085157" w:rsidRDefault="00296100">
      <w:pPr>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三、</w:t>
      </w:r>
      <w:r>
        <w:rPr>
          <w:rFonts w:ascii="Times New Roman" w:eastAsia="仿宋_GB2312" w:hAnsi="Times New Roman" w:cs="Times New Roman"/>
          <w:sz w:val="32"/>
          <w:szCs w:val="32"/>
        </w:rPr>
        <w:t>本目录根据经济社会发展需要适时调整。按照</w:t>
      </w:r>
      <w:r>
        <w:rPr>
          <w:rFonts w:ascii="Times New Roman" w:eastAsia="仿宋_GB2312" w:hAnsi="Times New Roman" w:cs="Times New Roman"/>
          <w:sz w:val="32"/>
          <w:szCs w:val="32"/>
        </w:rPr>
        <w:t>“</w:t>
      </w:r>
      <w:r>
        <w:rPr>
          <w:rFonts w:ascii="Times New Roman" w:eastAsia="仿宋_GB2312" w:hAnsi="Times New Roman" w:cs="Times New Roman"/>
          <w:sz w:val="32"/>
          <w:szCs w:val="32"/>
        </w:rPr>
        <w:t>应进必进</w:t>
      </w:r>
      <w:r>
        <w:rPr>
          <w:rFonts w:ascii="Times New Roman" w:eastAsia="仿宋_GB2312" w:hAnsi="Times New Roman" w:cs="Times New Roman"/>
          <w:sz w:val="32"/>
          <w:szCs w:val="32"/>
        </w:rPr>
        <w:t>”</w:t>
      </w:r>
      <w:r>
        <w:rPr>
          <w:rFonts w:ascii="Times New Roman" w:eastAsia="仿宋_GB2312" w:hAnsi="Times New Roman" w:cs="Times New Roman"/>
          <w:sz w:val="32"/>
          <w:szCs w:val="32"/>
        </w:rPr>
        <w:t>的原则，逐步将适合以市场化方式配置的公共资源统一纳入市公共资源交易平台体系。</w:t>
      </w:r>
    </w:p>
    <w:p w:rsidR="00085157" w:rsidRDefault="00296100">
      <w:pPr>
        <w:overflowPunct w:val="0"/>
        <w:spacing w:line="60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四、</w:t>
      </w:r>
      <w:r>
        <w:rPr>
          <w:rFonts w:ascii="Times New Roman" w:eastAsia="仿宋_GB2312" w:hAnsi="Times New Roman" w:cs="Times New Roman"/>
          <w:sz w:val="32"/>
          <w:szCs w:val="32"/>
        </w:rPr>
        <w:t>本目录内的公共资源交易，依托市公共资源交易平台已有交易分平台或综合交易系统进行交易。</w:t>
      </w:r>
    </w:p>
    <w:p w:rsidR="00085157" w:rsidRDefault="00296100">
      <w:pPr>
        <w:overflowPunct w:val="0"/>
        <w:spacing w:line="60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五、</w:t>
      </w:r>
      <w:r>
        <w:rPr>
          <w:rFonts w:ascii="Times New Roman" w:eastAsia="仿宋_GB2312" w:hAnsi="Times New Roman" w:cs="Times New Roman"/>
          <w:sz w:val="32"/>
          <w:szCs w:val="32"/>
        </w:rPr>
        <w:t>本目录外的新增公共资源交易，原则上不得新建交易平台，统一依托市公共资源交易平台综合交易系统进行交易。</w:t>
      </w:r>
    </w:p>
    <w:p w:rsidR="00085157" w:rsidRDefault="00296100">
      <w:pPr>
        <w:overflowPunct w:val="0"/>
        <w:spacing w:line="60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六、</w:t>
      </w:r>
      <w:r>
        <w:rPr>
          <w:rFonts w:ascii="Times New Roman" w:eastAsia="仿宋_GB2312" w:hAnsi="Times New Roman" w:cs="Times New Roman"/>
          <w:sz w:val="32"/>
          <w:szCs w:val="32"/>
        </w:rPr>
        <w:t>法律、法规、规章对公共资源交易范围有规定的，从其规定。本目录执行期间，法律、法规、规章对公共资源交易范围有调整的，本目录涉及的交易类别和交易内容自动调整。</w:t>
      </w:r>
    </w:p>
    <w:p w:rsidR="00085157" w:rsidRDefault="00085157">
      <w:pPr>
        <w:overflowPunct w:val="0"/>
        <w:spacing w:line="600" w:lineRule="exact"/>
        <w:jc w:val="center"/>
        <w:rPr>
          <w:rFonts w:ascii="Times New Roman" w:eastAsia="华文中宋" w:hAnsi="Times New Roman" w:cs="Times New Roman"/>
          <w:b/>
          <w:sz w:val="36"/>
          <w:szCs w:val="36"/>
        </w:rPr>
        <w:sectPr w:rsidR="00085157">
          <w:footerReference w:type="default" r:id="rId7"/>
          <w:pgSz w:w="11906" w:h="16838"/>
          <w:pgMar w:top="1440" w:right="1800" w:bottom="1440" w:left="1800" w:header="851" w:footer="992" w:gutter="0"/>
          <w:pgNumType w:start="1"/>
          <w:cols w:space="425"/>
          <w:docGrid w:type="lines" w:linePitch="312"/>
        </w:sectPr>
      </w:pPr>
    </w:p>
    <w:p w:rsidR="00085157" w:rsidRDefault="00085157">
      <w:pPr>
        <w:overflowPunct w:val="0"/>
        <w:spacing w:line="400" w:lineRule="exact"/>
        <w:rPr>
          <w:rFonts w:ascii="Times New Roman" w:eastAsia="华文中宋" w:hAnsi="Times New Roman" w:cs="Times New Roman"/>
          <w:sz w:val="36"/>
          <w:szCs w:val="36"/>
        </w:rPr>
      </w:pPr>
    </w:p>
    <w:tbl>
      <w:tblPr>
        <w:tblStyle w:val="a9"/>
        <w:tblW w:w="14142" w:type="dxa"/>
        <w:tblLook w:val="04A0" w:firstRow="1" w:lastRow="0" w:firstColumn="1" w:lastColumn="0" w:noHBand="0" w:noVBand="1"/>
      </w:tblPr>
      <w:tblGrid>
        <w:gridCol w:w="877"/>
        <w:gridCol w:w="2492"/>
        <w:gridCol w:w="1701"/>
        <w:gridCol w:w="9072"/>
      </w:tblGrid>
      <w:tr w:rsidR="00085157">
        <w:tc>
          <w:tcPr>
            <w:tcW w:w="877" w:type="dxa"/>
            <w:vAlign w:val="center"/>
          </w:tcPr>
          <w:p w:rsidR="00085157" w:rsidRDefault="00296100">
            <w:pPr>
              <w:spacing w:line="400" w:lineRule="exact"/>
              <w:jc w:val="center"/>
              <w:rPr>
                <w:rFonts w:ascii="Times New Roman" w:eastAsia="黑体" w:hAnsi="Times New Roman" w:cs="Times New Roman"/>
                <w:color w:val="000000"/>
                <w:sz w:val="24"/>
                <w:szCs w:val="24"/>
              </w:rPr>
            </w:pPr>
            <w:r>
              <w:rPr>
                <w:rFonts w:ascii="Times New Roman" w:eastAsia="黑体" w:hAnsi="Times New Roman" w:cs="Times New Roman"/>
                <w:color w:val="000000"/>
                <w:sz w:val="24"/>
                <w:szCs w:val="24"/>
              </w:rPr>
              <w:t>序号</w:t>
            </w:r>
          </w:p>
        </w:tc>
        <w:tc>
          <w:tcPr>
            <w:tcW w:w="2492" w:type="dxa"/>
            <w:vAlign w:val="center"/>
          </w:tcPr>
          <w:p w:rsidR="00085157" w:rsidRDefault="00296100">
            <w:pPr>
              <w:spacing w:line="400" w:lineRule="exact"/>
              <w:jc w:val="center"/>
              <w:rPr>
                <w:rFonts w:ascii="Times New Roman" w:eastAsia="黑体" w:hAnsi="Times New Roman" w:cs="Times New Roman"/>
                <w:color w:val="000000"/>
                <w:sz w:val="24"/>
                <w:szCs w:val="24"/>
              </w:rPr>
            </w:pPr>
            <w:r>
              <w:rPr>
                <w:rFonts w:ascii="Times New Roman" w:eastAsia="黑体" w:hAnsi="Times New Roman" w:cs="Times New Roman"/>
                <w:color w:val="000000"/>
                <w:sz w:val="24"/>
                <w:szCs w:val="24"/>
              </w:rPr>
              <w:t>交易类别</w:t>
            </w:r>
          </w:p>
        </w:tc>
        <w:tc>
          <w:tcPr>
            <w:tcW w:w="10773" w:type="dxa"/>
            <w:gridSpan w:val="2"/>
            <w:vAlign w:val="center"/>
          </w:tcPr>
          <w:p w:rsidR="00085157" w:rsidRDefault="00296100">
            <w:pPr>
              <w:spacing w:line="400" w:lineRule="exact"/>
              <w:jc w:val="center"/>
              <w:rPr>
                <w:rFonts w:ascii="Times New Roman" w:eastAsia="黑体" w:hAnsi="Times New Roman" w:cs="Times New Roman"/>
                <w:color w:val="000000"/>
                <w:sz w:val="24"/>
                <w:szCs w:val="24"/>
              </w:rPr>
            </w:pPr>
            <w:r>
              <w:rPr>
                <w:rFonts w:ascii="Times New Roman" w:eastAsia="黑体" w:hAnsi="Times New Roman" w:cs="Times New Roman"/>
                <w:color w:val="000000"/>
                <w:sz w:val="24"/>
                <w:szCs w:val="24"/>
              </w:rPr>
              <w:t>交易内容</w:t>
            </w:r>
          </w:p>
        </w:tc>
      </w:tr>
      <w:tr w:rsidR="00085157">
        <w:tc>
          <w:tcPr>
            <w:tcW w:w="877" w:type="dxa"/>
            <w:vMerge w:val="restart"/>
            <w:vAlign w:val="center"/>
          </w:tcPr>
          <w:p w:rsidR="00085157" w:rsidRPr="006B7971" w:rsidRDefault="00296100">
            <w:pPr>
              <w:overflowPunct w:val="0"/>
              <w:spacing w:line="400" w:lineRule="exact"/>
              <w:ind w:firstLineChars="100" w:firstLine="240"/>
              <w:jc w:val="center"/>
              <w:rPr>
                <w:rFonts w:ascii="楷体_GB2312" w:eastAsia="楷体_GB2312" w:hAnsi="Times New Roman" w:cs="Times New Roman"/>
                <w:sz w:val="24"/>
                <w:szCs w:val="24"/>
              </w:rPr>
            </w:pPr>
            <w:r w:rsidRPr="006B7971">
              <w:rPr>
                <w:rFonts w:ascii="楷体_GB2312" w:eastAsia="楷体_GB2312" w:hAnsiTheme="minorEastAsia" w:cs="Times New Roman" w:hint="eastAsia"/>
                <w:sz w:val="24"/>
                <w:szCs w:val="24"/>
              </w:rPr>
              <w:t>一</w:t>
            </w:r>
          </w:p>
          <w:p w:rsidR="00085157" w:rsidRPr="006B7971" w:rsidRDefault="00085157">
            <w:pPr>
              <w:overflowPunct w:val="0"/>
              <w:spacing w:line="400" w:lineRule="exact"/>
              <w:jc w:val="center"/>
              <w:rPr>
                <w:rFonts w:ascii="楷体_GB2312" w:eastAsia="楷体_GB2312" w:hAnsi="Times New Roman" w:cs="Times New Roman"/>
                <w:sz w:val="24"/>
                <w:szCs w:val="24"/>
              </w:rPr>
            </w:pPr>
          </w:p>
        </w:tc>
        <w:tc>
          <w:tcPr>
            <w:tcW w:w="2492" w:type="dxa"/>
            <w:vMerge w:val="restart"/>
            <w:vAlign w:val="center"/>
          </w:tcPr>
          <w:p w:rsidR="00085157" w:rsidRPr="006B7971" w:rsidRDefault="00296100">
            <w:pPr>
              <w:overflowPunct w:val="0"/>
              <w:spacing w:line="400" w:lineRule="exact"/>
              <w:jc w:val="center"/>
              <w:rPr>
                <w:rFonts w:ascii="楷体_GB2312" w:eastAsia="楷体_GB2312" w:hAnsi="Times New Roman" w:cs="Times New Roman"/>
                <w:sz w:val="24"/>
                <w:szCs w:val="24"/>
              </w:rPr>
            </w:pPr>
            <w:r w:rsidRPr="006B7971">
              <w:rPr>
                <w:rFonts w:ascii="楷体_GB2312" w:eastAsia="楷体_GB2312" w:hAnsiTheme="minorEastAsia" w:cs="Times New Roman" w:hint="eastAsia"/>
                <w:sz w:val="24"/>
                <w:szCs w:val="24"/>
              </w:rPr>
              <w:t>工程建设项目</w:t>
            </w:r>
          </w:p>
          <w:p w:rsidR="00085157" w:rsidRPr="006B7971" w:rsidRDefault="00296100">
            <w:pPr>
              <w:overflowPunct w:val="0"/>
              <w:spacing w:line="400" w:lineRule="exact"/>
              <w:jc w:val="center"/>
              <w:rPr>
                <w:rFonts w:ascii="楷体_GB2312" w:eastAsia="楷体_GB2312" w:hAnsi="Times New Roman" w:cs="Times New Roman"/>
                <w:sz w:val="24"/>
                <w:szCs w:val="24"/>
              </w:rPr>
            </w:pPr>
            <w:r w:rsidRPr="006B7971">
              <w:rPr>
                <w:rFonts w:ascii="楷体_GB2312" w:eastAsia="楷体_GB2312" w:hAnsiTheme="minorEastAsia" w:cs="Times New Roman" w:hint="eastAsia"/>
                <w:sz w:val="24"/>
                <w:szCs w:val="24"/>
              </w:rPr>
              <w:t>招标投标</w:t>
            </w:r>
          </w:p>
          <w:p w:rsidR="00085157" w:rsidRPr="006B7971" w:rsidRDefault="00085157">
            <w:pPr>
              <w:overflowPunct w:val="0"/>
              <w:spacing w:line="400" w:lineRule="exact"/>
              <w:jc w:val="center"/>
              <w:rPr>
                <w:rFonts w:ascii="楷体_GB2312" w:eastAsia="楷体_GB2312" w:hAnsi="Times New Roman" w:cs="Times New Roman"/>
                <w:sz w:val="24"/>
                <w:szCs w:val="24"/>
              </w:rPr>
            </w:pPr>
          </w:p>
        </w:tc>
        <w:tc>
          <w:tcPr>
            <w:tcW w:w="1701" w:type="dxa"/>
            <w:vAlign w:val="center"/>
          </w:tcPr>
          <w:p w:rsidR="00085157" w:rsidRPr="006B7971" w:rsidRDefault="00296100">
            <w:pPr>
              <w:overflowPunct w:val="0"/>
              <w:spacing w:line="400" w:lineRule="exact"/>
              <w:jc w:val="center"/>
              <w:rPr>
                <w:rFonts w:ascii="楷体_GB2312" w:eastAsia="楷体_GB2312" w:hAnsi="Times New Roman" w:cs="Times New Roman"/>
                <w:sz w:val="24"/>
                <w:szCs w:val="24"/>
              </w:rPr>
            </w:pPr>
            <w:r w:rsidRPr="006B7971">
              <w:rPr>
                <w:rFonts w:ascii="楷体_GB2312" w:eastAsia="楷体_GB2312" w:hAnsiTheme="minorEastAsia" w:cs="Times New Roman" w:hint="eastAsia"/>
                <w:sz w:val="24"/>
                <w:szCs w:val="24"/>
              </w:rPr>
              <w:t>建筑工程</w:t>
            </w:r>
          </w:p>
        </w:tc>
        <w:tc>
          <w:tcPr>
            <w:tcW w:w="9072" w:type="dxa"/>
          </w:tcPr>
          <w:p w:rsidR="00085157" w:rsidRPr="006B7971" w:rsidRDefault="00296100">
            <w:pPr>
              <w:overflowPunct w:val="0"/>
              <w:spacing w:line="400" w:lineRule="exact"/>
              <w:rPr>
                <w:rFonts w:ascii="楷体_GB2312" w:eastAsia="楷体_GB2312" w:hAnsi="Times New Roman" w:cs="Times New Roman"/>
                <w:sz w:val="24"/>
                <w:szCs w:val="24"/>
              </w:rPr>
            </w:pPr>
            <w:r w:rsidRPr="006B7971">
              <w:rPr>
                <w:rFonts w:ascii="楷体_GB2312" w:eastAsia="楷体_GB2312" w:hAnsi="Calibri" w:cs="Times New Roman" w:hint="eastAsia"/>
                <w:color w:val="000000"/>
                <w:sz w:val="24"/>
                <w:szCs w:val="24"/>
              </w:rPr>
              <w:t>房屋建筑工程</w:t>
            </w:r>
            <w:r w:rsidRPr="006B7971">
              <w:rPr>
                <w:rFonts w:ascii="楷体_GB2312" w:eastAsia="楷体_GB2312" w:cs="Times New Roman" w:hint="eastAsia"/>
                <w:color w:val="000000"/>
                <w:sz w:val="24"/>
                <w:szCs w:val="24"/>
              </w:rPr>
              <w:t>、</w:t>
            </w:r>
            <w:r w:rsidRPr="006B7971">
              <w:rPr>
                <w:rFonts w:ascii="楷体_GB2312" w:eastAsia="楷体_GB2312" w:hAnsi="Calibri" w:cs="Times New Roman" w:hint="eastAsia"/>
                <w:color w:val="000000"/>
                <w:sz w:val="24"/>
                <w:szCs w:val="24"/>
              </w:rPr>
              <w:t>市政公用工程</w:t>
            </w:r>
            <w:r w:rsidRPr="006B7971">
              <w:rPr>
                <w:rFonts w:ascii="楷体_GB2312" w:eastAsia="楷体_GB2312" w:cs="Times New Roman" w:hint="eastAsia"/>
                <w:color w:val="000000"/>
                <w:sz w:val="24"/>
                <w:szCs w:val="24"/>
              </w:rPr>
              <w:t>、</w:t>
            </w:r>
            <w:r w:rsidRPr="006B7971">
              <w:rPr>
                <w:rFonts w:ascii="楷体_GB2312" w:eastAsia="楷体_GB2312" w:hAnsi="Calibri" w:cs="Times New Roman" w:hint="eastAsia"/>
                <w:color w:val="000000"/>
                <w:sz w:val="24"/>
                <w:szCs w:val="24"/>
              </w:rPr>
              <w:t>机电工程</w:t>
            </w:r>
            <w:r w:rsidRPr="006B7971">
              <w:rPr>
                <w:rFonts w:ascii="楷体_GB2312" w:eastAsia="楷体_GB2312" w:cs="Times New Roman" w:hint="eastAsia"/>
                <w:color w:val="000000"/>
                <w:sz w:val="24"/>
                <w:szCs w:val="24"/>
              </w:rPr>
              <w:t>、</w:t>
            </w:r>
            <w:r w:rsidRPr="006B7971">
              <w:rPr>
                <w:rFonts w:ascii="楷体_GB2312" w:eastAsia="楷体_GB2312" w:hAnsi="Calibri" w:cs="Times New Roman" w:hint="eastAsia"/>
                <w:color w:val="000000"/>
                <w:sz w:val="24"/>
                <w:szCs w:val="24"/>
              </w:rPr>
              <w:t>园林（廊道）、绿化、人防等其它工程的勘察</w:t>
            </w:r>
            <w:r w:rsidRPr="006B7971">
              <w:rPr>
                <w:rFonts w:ascii="楷体_GB2312" w:eastAsia="楷体_GB2312" w:cs="Times New Roman" w:hint="eastAsia"/>
                <w:color w:val="000000"/>
                <w:sz w:val="24"/>
                <w:szCs w:val="24"/>
              </w:rPr>
              <w:t>、设计、施工、监理以及</w:t>
            </w:r>
            <w:r w:rsidRPr="006B7971">
              <w:rPr>
                <w:rFonts w:ascii="楷体_GB2312" w:eastAsia="楷体_GB2312" w:hAnsi="Calibri" w:cs="Times New Roman" w:hint="eastAsia"/>
                <w:color w:val="000000"/>
                <w:sz w:val="24"/>
                <w:szCs w:val="24"/>
              </w:rPr>
              <w:t>与工程建设有关的重要设备、材料的采购，工程建设、运维保养有关的招标代理、代建、监测检验、维修保养等</w:t>
            </w:r>
          </w:p>
        </w:tc>
      </w:tr>
      <w:tr w:rsidR="00085157">
        <w:tc>
          <w:tcPr>
            <w:tcW w:w="877" w:type="dxa"/>
            <w:vMerge/>
            <w:vAlign w:val="center"/>
          </w:tcPr>
          <w:p w:rsidR="00085157" w:rsidRPr="006B7971" w:rsidRDefault="00085157">
            <w:pPr>
              <w:overflowPunct w:val="0"/>
              <w:spacing w:line="400" w:lineRule="exact"/>
              <w:jc w:val="center"/>
              <w:rPr>
                <w:rFonts w:ascii="楷体_GB2312" w:eastAsia="楷体_GB2312" w:hAnsi="Times New Roman" w:cs="Times New Roman"/>
                <w:sz w:val="24"/>
                <w:szCs w:val="24"/>
              </w:rPr>
            </w:pPr>
          </w:p>
        </w:tc>
        <w:tc>
          <w:tcPr>
            <w:tcW w:w="2492" w:type="dxa"/>
            <w:vMerge/>
            <w:vAlign w:val="center"/>
          </w:tcPr>
          <w:p w:rsidR="00085157" w:rsidRPr="006B7971" w:rsidRDefault="00085157">
            <w:pPr>
              <w:overflowPunct w:val="0"/>
              <w:spacing w:line="400" w:lineRule="exact"/>
              <w:jc w:val="center"/>
              <w:rPr>
                <w:rFonts w:ascii="楷体_GB2312" w:eastAsia="楷体_GB2312" w:hAnsi="Times New Roman" w:cs="Times New Roman"/>
                <w:sz w:val="24"/>
                <w:szCs w:val="24"/>
              </w:rPr>
            </w:pPr>
          </w:p>
        </w:tc>
        <w:tc>
          <w:tcPr>
            <w:tcW w:w="1701" w:type="dxa"/>
            <w:vAlign w:val="center"/>
          </w:tcPr>
          <w:p w:rsidR="00085157" w:rsidRPr="006B7971" w:rsidRDefault="00296100">
            <w:pPr>
              <w:overflowPunct w:val="0"/>
              <w:spacing w:line="400" w:lineRule="exact"/>
              <w:jc w:val="center"/>
              <w:rPr>
                <w:rFonts w:ascii="楷体_GB2312" w:eastAsia="楷体_GB2312" w:hAnsi="Times New Roman" w:cs="Times New Roman"/>
                <w:sz w:val="24"/>
                <w:szCs w:val="24"/>
              </w:rPr>
            </w:pPr>
            <w:r w:rsidRPr="006B7971">
              <w:rPr>
                <w:rFonts w:ascii="楷体_GB2312" w:eastAsia="楷体_GB2312" w:hAnsiTheme="minorEastAsia" w:cs="Times New Roman" w:hint="eastAsia"/>
                <w:sz w:val="24"/>
                <w:szCs w:val="24"/>
              </w:rPr>
              <w:t>交通工程</w:t>
            </w:r>
          </w:p>
        </w:tc>
        <w:tc>
          <w:tcPr>
            <w:tcW w:w="9072" w:type="dxa"/>
          </w:tcPr>
          <w:p w:rsidR="00085157" w:rsidRPr="006B7971" w:rsidRDefault="00296100">
            <w:pPr>
              <w:overflowPunct w:val="0"/>
              <w:spacing w:line="400" w:lineRule="exact"/>
              <w:rPr>
                <w:rFonts w:ascii="楷体_GB2312" w:eastAsia="楷体_GB2312" w:hAnsi="Times New Roman" w:cs="Times New Roman"/>
                <w:sz w:val="24"/>
                <w:szCs w:val="24"/>
              </w:rPr>
            </w:pPr>
            <w:r w:rsidRPr="006B7971">
              <w:rPr>
                <w:rFonts w:ascii="楷体_GB2312" w:eastAsia="楷体_GB2312" w:hAnsiTheme="minorEastAsia" w:cs="Times New Roman" w:hint="eastAsia"/>
                <w:sz w:val="24"/>
                <w:szCs w:val="24"/>
              </w:rPr>
              <w:t>铁路工程、公路工程、水运工程、城市道路（含高架、地面道路）、轨道交通、枢纽场站、公共停车场库、公交线路站点等公交系统工程、民用机场工程、桥梁工程、隧道工程、其它交通运输或配套工程</w:t>
            </w:r>
            <w:r w:rsidRPr="006B7971">
              <w:rPr>
                <w:rFonts w:ascii="楷体_GB2312" w:eastAsia="楷体_GB2312" w:hAnsi="Calibri" w:cs="Times New Roman" w:hint="eastAsia"/>
                <w:color w:val="000000"/>
                <w:sz w:val="24"/>
                <w:szCs w:val="24"/>
              </w:rPr>
              <w:t>的勘察</w:t>
            </w:r>
            <w:r w:rsidRPr="006B7971">
              <w:rPr>
                <w:rFonts w:ascii="楷体_GB2312" w:eastAsia="楷体_GB2312" w:cs="Times New Roman" w:hint="eastAsia"/>
                <w:color w:val="000000"/>
                <w:sz w:val="24"/>
                <w:szCs w:val="24"/>
              </w:rPr>
              <w:t>、设计、施工、监理以及</w:t>
            </w:r>
            <w:r w:rsidRPr="006B7971">
              <w:rPr>
                <w:rFonts w:ascii="楷体_GB2312" w:eastAsia="楷体_GB2312" w:hAnsi="Calibri" w:cs="Times New Roman" w:hint="eastAsia"/>
                <w:color w:val="000000"/>
                <w:sz w:val="24"/>
                <w:szCs w:val="24"/>
              </w:rPr>
              <w:t>与工程建设有关的重要设备、材料的采购，工程建设、运维保养有关的招标代理、代建、监测检验、维修保养等</w:t>
            </w:r>
          </w:p>
        </w:tc>
      </w:tr>
      <w:tr w:rsidR="00085157">
        <w:tc>
          <w:tcPr>
            <w:tcW w:w="877" w:type="dxa"/>
            <w:vMerge/>
            <w:vAlign w:val="center"/>
          </w:tcPr>
          <w:p w:rsidR="00085157" w:rsidRPr="006B7971" w:rsidRDefault="00085157">
            <w:pPr>
              <w:overflowPunct w:val="0"/>
              <w:spacing w:line="400" w:lineRule="exact"/>
              <w:jc w:val="center"/>
              <w:rPr>
                <w:rFonts w:ascii="楷体_GB2312" w:eastAsia="楷体_GB2312" w:hAnsi="Times New Roman" w:cs="Times New Roman"/>
                <w:sz w:val="24"/>
                <w:szCs w:val="24"/>
              </w:rPr>
            </w:pPr>
          </w:p>
        </w:tc>
        <w:tc>
          <w:tcPr>
            <w:tcW w:w="2492" w:type="dxa"/>
            <w:vMerge/>
            <w:vAlign w:val="center"/>
          </w:tcPr>
          <w:p w:rsidR="00085157" w:rsidRPr="006B7971" w:rsidRDefault="00085157">
            <w:pPr>
              <w:overflowPunct w:val="0"/>
              <w:spacing w:line="400" w:lineRule="exact"/>
              <w:jc w:val="center"/>
              <w:rPr>
                <w:rFonts w:ascii="楷体_GB2312" w:eastAsia="楷体_GB2312" w:hAnsi="Times New Roman" w:cs="Times New Roman"/>
                <w:color w:val="000000"/>
                <w:sz w:val="24"/>
                <w:szCs w:val="24"/>
              </w:rPr>
            </w:pPr>
          </w:p>
        </w:tc>
        <w:tc>
          <w:tcPr>
            <w:tcW w:w="1701" w:type="dxa"/>
            <w:vAlign w:val="center"/>
          </w:tcPr>
          <w:p w:rsidR="00085157" w:rsidRPr="006B7971" w:rsidRDefault="00296100">
            <w:pPr>
              <w:overflowPunct w:val="0"/>
              <w:spacing w:line="400" w:lineRule="exact"/>
              <w:jc w:val="center"/>
              <w:rPr>
                <w:rFonts w:ascii="楷体_GB2312" w:eastAsia="楷体_GB2312" w:hAnsi="Times New Roman" w:cs="Times New Roman"/>
                <w:sz w:val="24"/>
                <w:szCs w:val="24"/>
              </w:rPr>
            </w:pPr>
            <w:r w:rsidRPr="006B7971">
              <w:rPr>
                <w:rFonts w:ascii="楷体_GB2312" w:eastAsia="楷体_GB2312" w:hAnsi="Calibri" w:cs="Times New Roman" w:hint="eastAsia"/>
                <w:color w:val="000000"/>
                <w:sz w:val="24"/>
                <w:szCs w:val="24"/>
              </w:rPr>
              <w:t>水务工程</w:t>
            </w:r>
          </w:p>
        </w:tc>
        <w:tc>
          <w:tcPr>
            <w:tcW w:w="9072" w:type="dxa"/>
          </w:tcPr>
          <w:p w:rsidR="00085157" w:rsidRPr="006B7971" w:rsidRDefault="00296100">
            <w:pPr>
              <w:overflowPunct w:val="0"/>
              <w:spacing w:line="400" w:lineRule="exact"/>
              <w:rPr>
                <w:rFonts w:ascii="楷体_GB2312" w:eastAsia="楷体_GB2312" w:hAnsi="Times New Roman" w:cs="Times New Roman"/>
                <w:sz w:val="24"/>
                <w:szCs w:val="24"/>
              </w:rPr>
            </w:pPr>
            <w:r w:rsidRPr="006B7971">
              <w:rPr>
                <w:rFonts w:ascii="楷体_GB2312" w:eastAsia="楷体_GB2312" w:hAnsi="Calibri" w:cs="Times New Roman" w:hint="eastAsia"/>
                <w:color w:val="000000"/>
                <w:sz w:val="24"/>
                <w:szCs w:val="24"/>
              </w:rPr>
              <w:t>水利工程</w:t>
            </w:r>
            <w:r w:rsidRPr="006B7971">
              <w:rPr>
                <w:rFonts w:ascii="楷体_GB2312" w:eastAsia="楷体_GB2312" w:cs="Times New Roman" w:hint="eastAsia"/>
                <w:color w:val="000000"/>
                <w:sz w:val="24"/>
                <w:szCs w:val="24"/>
              </w:rPr>
              <w:t>、</w:t>
            </w:r>
            <w:r w:rsidRPr="006B7971">
              <w:rPr>
                <w:rFonts w:ascii="楷体_GB2312" w:eastAsia="楷体_GB2312" w:hAnsi="Calibri" w:cs="Times New Roman" w:hint="eastAsia"/>
                <w:color w:val="000000"/>
                <w:sz w:val="24"/>
                <w:szCs w:val="24"/>
              </w:rPr>
              <w:t>供水工程</w:t>
            </w:r>
            <w:r w:rsidRPr="006B7971">
              <w:rPr>
                <w:rFonts w:ascii="楷体_GB2312" w:eastAsia="楷体_GB2312" w:cs="Times New Roman" w:hint="eastAsia"/>
                <w:color w:val="000000"/>
                <w:sz w:val="24"/>
                <w:szCs w:val="24"/>
              </w:rPr>
              <w:t>、</w:t>
            </w:r>
            <w:r w:rsidRPr="006B7971">
              <w:rPr>
                <w:rFonts w:ascii="楷体_GB2312" w:eastAsia="楷体_GB2312" w:hAnsi="Calibri" w:cs="Times New Roman" w:hint="eastAsia"/>
                <w:color w:val="000000"/>
                <w:sz w:val="24"/>
                <w:szCs w:val="24"/>
              </w:rPr>
              <w:t>排水工程</w:t>
            </w:r>
            <w:r w:rsidRPr="006B7971">
              <w:rPr>
                <w:rFonts w:ascii="楷体_GB2312" w:eastAsia="楷体_GB2312" w:cs="Times New Roman" w:hint="eastAsia"/>
                <w:color w:val="000000"/>
                <w:sz w:val="24"/>
                <w:szCs w:val="24"/>
              </w:rPr>
              <w:t>、</w:t>
            </w:r>
            <w:r w:rsidRPr="006B7971">
              <w:rPr>
                <w:rFonts w:ascii="楷体_GB2312" w:eastAsia="楷体_GB2312" w:hAnsi="Calibri" w:cs="Times New Roman" w:hint="eastAsia"/>
                <w:color w:val="000000"/>
                <w:sz w:val="24"/>
                <w:szCs w:val="24"/>
              </w:rPr>
              <w:t>泵站工程</w:t>
            </w:r>
            <w:r w:rsidRPr="006B7971">
              <w:rPr>
                <w:rFonts w:ascii="楷体_GB2312" w:eastAsia="楷体_GB2312" w:cs="Times New Roman" w:hint="eastAsia"/>
                <w:color w:val="000000"/>
                <w:sz w:val="24"/>
                <w:szCs w:val="24"/>
              </w:rPr>
              <w:t>、</w:t>
            </w:r>
            <w:r w:rsidRPr="006B7971">
              <w:rPr>
                <w:rFonts w:ascii="楷体_GB2312" w:eastAsia="楷体_GB2312" w:hAnsi="Calibri" w:cs="Times New Roman" w:hint="eastAsia"/>
                <w:color w:val="000000"/>
                <w:sz w:val="24"/>
                <w:szCs w:val="24"/>
              </w:rPr>
              <w:t>水文工程</w:t>
            </w:r>
            <w:r w:rsidRPr="006B7971">
              <w:rPr>
                <w:rFonts w:ascii="楷体_GB2312" w:eastAsia="楷体_GB2312" w:cs="Times New Roman" w:hint="eastAsia"/>
                <w:color w:val="000000"/>
                <w:sz w:val="24"/>
                <w:szCs w:val="24"/>
              </w:rPr>
              <w:t>、</w:t>
            </w:r>
            <w:r w:rsidRPr="006B7971">
              <w:rPr>
                <w:rFonts w:ascii="楷体_GB2312" w:eastAsia="楷体_GB2312" w:hAnsi="Calibri" w:cs="Times New Roman" w:hint="eastAsia"/>
                <w:color w:val="000000"/>
                <w:sz w:val="24"/>
                <w:szCs w:val="24"/>
              </w:rPr>
              <w:t>其它水务工程的勘察</w:t>
            </w:r>
            <w:r w:rsidRPr="006B7971">
              <w:rPr>
                <w:rFonts w:ascii="楷体_GB2312" w:eastAsia="楷体_GB2312" w:cs="Times New Roman" w:hint="eastAsia"/>
                <w:color w:val="000000"/>
                <w:sz w:val="24"/>
                <w:szCs w:val="24"/>
              </w:rPr>
              <w:t>、设计、施工、监理以及</w:t>
            </w:r>
            <w:r w:rsidRPr="006B7971">
              <w:rPr>
                <w:rFonts w:ascii="楷体_GB2312" w:eastAsia="楷体_GB2312" w:hAnsi="Calibri" w:cs="Times New Roman" w:hint="eastAsia"/>
                <w:color w:val="000000"/>
                <w:sz w:val="24"/>
                <w:szCs w:val="24"/>
              </w:rPr>
              <w:t>与工程建设有关的重要设备、材料的采购，工程建设、运维保养有关的招标代理、代建、监测检验、维修保养等</w:t>
            </w:r>
          </w:p>
        </w:tc>
      </w:tr>
      <w:tr w:rsidR="00085157">
        <w:tc>
          <w:tcPr>
            <w:tcW w:w="877" w:type="dxa"/>
            <w:vMerge/>
            <w:vAlign w:val="center"/>
          </w:tcPr>
          <w:p w:rsidR="00085157" w:rsidRPr="006B7971" w:rsidRDefault="00085157">
            <w:pPr>
              <w:overflowPunct w:val="0"/>
              <w:spacing w:line="400" w:lineRule="exact"/>
              <w:jc w:val="center"/>
              <w:rPr>
                <w:rFonts w:ascii="楷体_GB2312" w:eastAsia="楷体_GB2312" w:hAnsi="Times New Roman" w:cs="Times New Roman"/>
                <w:sz w:val="24"/>
                <w:szCs w:val="24"/>
              </w:rPr>
            </w:pPr>
          </w:p>
        </w:tc>
        <w:tc>
          <w:tcPr>
            <w:tcW w:w="2492" w:type="dxa"/>
            <w:vMerge/>
            <w:vAlign w:val="center"/>
          </w:tcPr>
          <w:p w:rsidR="00085157" w:rsidRPr="006B7971" w:rsidRDefault="00085157">
            <w:pPr>
              <w:overflowPunct w:val="0"/>
              <w:spacing w:line="400" w:lineRule="exact"/>
              <w:jc w:val="center"/>
              <w:rPr>
                <w:rFonts w:ascii="楷体_GB2312" w:eastAsia="楷体_GB2312" w:hAnsi="Times New Roman" w:cs="Times New Roman"/>
                <w:color w:val="000000"/>
                <w:sz w:val="24"/>
                <w:szCs w:val="24"/>
              </w:rPr>
            </w:pPr>
          </w:p>
        </w:tc>
        <w:tc>
          <w:tcPr>
            <w:tcW w:w="1701" w:type="dxa"/>
            <w:vAlign w:val="center"/>
          </w:tcPr>
          <w:p w:rsidR="00085157" w:rsidRPr="006B7971" w:rsidRDefault="00296100">
            <w:pPr>
              <w:overflowPunct w:val="0"/>
              <w:spacing w:line="400" w:lineRule="exact"/>
              <w:jc w:val="center"/>
              <w:rPr>
                <w:rFonts w:ascii="楷体_GB2312" w:eastAsia="楷体_GB2312" w:hAnsi="Times New Roman" w:cs="Times New Roman"/>
                <w:color w:val="000000"/>
                <w:sz w:val="24"/>
                <w:szCs w:val="24"/>
              </w:rPr>
            </w:pPr>
            <w:r w:rsidRPr="006B7971">
              <w:rPr>
                <w:rFonts w:ascii="楷体_GB2312" w:eastAsia="楷体_GB2312" w:cs="Times New Roman" w:hint="eastAsia"/>
                <w:color w:val="000000"/>
                <w:sz w:val="24"/>
                <w:szCs w:val="24"/>
              </w:rPr>
              <w:t>电力与能源工程</w:t>
            </w:r>
          </w:p>
        </w:tc>
        <w:tc>
          <w:tcPr>
            <w:tcW w:w="9072" w:type="dxa"/>
          </w:tcPr>
          <w:p w:rsidR="00085157" w:rsidRPr="006B7971" w:rsidRDefault="00296100">
            <w:pPr>
              <w:overflowPunct w:val="0"/>
              <w:spacing w:line="400" w:lineRule="exact"/>
              <w:rPr>
                <w:rFonts w:ascii="楷体_GB2312" w:eastAsia="楷体_GB2312" w:hAnsi="Times New Roman" w:cs="Times New Roman"/>
                <w:color w:val="000000"/>
                <w:sz w:val="24"/>
                <w:szCs w:val="24"/>
              </w:rPr>
            </w:pPr>
            <w:r w:rsidRPr="006B7971">
              <w:rPr>
                <w:rFonts w:ascii="楷体_GB2312" w:eastAsia="楷体_GB2312" w:cs="Times New Roman" w:hint="eastAsia"/>
                <w:color w:val="000000"/>
                <w:sz w:val="24"/>
                <w:szCs w:val="24"/>
              </w:rPr>
              <w:t>火电工程、输配电工程、供电用电工程、新能源工程（风电、生物质能）、石油天然气管网工程、其它电力与能源工程、与工程建设有关的重要设备、材料的采购，</w:t>
            </w:r>
            <w:r w:rsidRPr="006B7971">
              <w:rPr>
                <w:rFonts w:ascii="楷体_GB2312" w:eastAsia="楷体_GB2312" w:hAnsi="Calibri" w:cs="Times New Roman" w:hint="eastAsia"/>
                <w:color w:val="000000"/>
                <w:sz w:val="24"/>
                <w:szCs w:val="24"/>
              </w:rPr>
              <w:t>工程建设、运维保养有关的招标代理、代建、监测检验、维修保养等</w:t>
            </w:r>
          </w:p>
        </w:tc>
      </w:tr>
      <w:tr w:rsidR="00085157">
        <w:tc>
          <w:tcPr>
            <w:tcW w:w="877" w:type="dxa"/>
            <w:vMerge/>
            <w:vAlign w:val="center"/>
          </w:tcPr>
          <w:p w:rsidR="00085157" w:rsidRPr="006B7971" w:rsidRDefault="00085157">
            <w:pPr>
              <w:overflowPunct w:val="0"/>
              <w:spacing w:line="400" w:lineRule="exact"/>
              <w:jc w:val="center"/>
              <w:rPr>
                <w:rFonts w:ascii="楷体_GB2312" w:eastAsia="楷体_GB2312" w:hAnsi="Times New Roman" w:cs="Times New Roman"/>
                <w:sz w:val="24"/>
                <w:szCs w:val="24"/>
              </w:rPr>
            </w:pPr>
          </w:p>
        </w:tc>
        <w:tc>
          <w:tcPr>
            <w:tcW w:w="2492" w:type="dxa"/>
            <w:vMerge/>
            <w:vAlign w:val="center"/>
          </w:tcPr>
          <w:p w:rsidR="00085157" w:rsidRPr="006B7971" w:rsidRDefault="00085157">
            <w:pPr>
              <w:overflowPunct w:val="0"/>
              <w:spacing w:line="400" w:lineRule="exact"/>
              <w:jc w:val="center"/>
              <w:rPr>
                <w:rFonts w:ascii="楷体_GB2312" w:eastAsia="楷体_GB2312" w:hAnsi="Times New Roman" w:cs="Times New Roman"/>
                <w:sz w:val="24"/>
                <w:szCs w:val="24"/>
              </w:rPr>
            </w:pPr>
          </w:p>
        </w:tc>
        <w:tc>
          <w:tcPr>
            <w:tcW w:w="1701" w:type="dxa"/>
            <w:vAlign w:val="center"/>
          </w:tcPr>
          <w:p w:rsidR="00085157" w:rsidRPr="006B7971" w:rsidRDefault="00296100">
            <w:pPr>
              <w:overflowPunct w:val="0"/>
              <w:spacing w:line="400" w:lineRule="exact"/>
              <w:jc w:val="center"/>
              <w:rPr>
                <w:rFonts w:ascii="楷体_GB2312" w:eastAsia="楷体_GB2312" w:hAnsi="Times New Roman" w:cs="Times New Roman"/>
                <w:color w:val="000000"/>
                <w:sz w:val="24"/>
                <w:szCs w:val="24"/>
              </w:rPr>
            </w:pPr>
            <w:r w:rsidRPr="006B7971">
              <w:rPr>
                <w:rFonts w:ascii="楷体_GB2312" w:eastAsia="楷体_GB2312" w:hAnsi="Calibri" w:cs="Times New Roman" w:hint="eastAsia"/>
                <w:color w:val="000000"/>
                <w:sz w:val="24"/>
                <w:szCs w:val="24"/>
              </w:rPr>
              <w:t>公用事业</w:t>
            </w:r>
          </w:p>
          <w:p w:rsidR="00085157" w:rsidRPr="006B7971" w:rsidRDefault="00296100">
            <w:pPr>
              <w:overflowPunct w:val="0"/>
              <w:spacing w:line="400" w:lineRule="exact"/>
              <w:jc w:val="center"/>
              <w:rPr>
                <w:rFonts w:ascii="楷体_GB2312" w:eastAsia="楷体_GB2312" w:hAnsi="Times New Roman" w:cs="Times New Roman"/>
                <w:color w:val="000000"/>
                <w:sz w:val="24"/>
                <w:szCs w:val="24"/>
              </w:rPr>
            </w:pPr>
            <w:r w:rsidRPr="006B7971">
              <w:rPr>
                <w:rFonts w:ascii="楷体_GB2312" w:eastAsia="楷体_GB2312" w:hAnsi="Calibri" w:cs="Times New Roman" w:hint="eastAsia"/>
                <w:color w:val="000000"/>
                <w:sz w:val="24"/>
                <w:szCs w:val="24"/>
              </w:rPr>
              <w:t>基础设施</w:t>
            </w:r>
          </w:p>
        </w:tc>
        <w:tc>
          <w:tcPr>
            <w:tcW w:w="9072" w:type="dxa"/>
          </w:tcPr>
          <w:p w:rsidR="00085157" w:rsidRPr="006B7971" w:rsidRDefault="00296100">
            <w:pPr>
              <w:overflowPunct w:val="0"/>
              <w:spacing w:line="400" w:lineRule="exact"/>
              <w:rPr>
                <w:rFonts w:ascii="楷体_GB2312" w:eastAsia="楷体_GB2312" w:hAnsi="Times New Roman" w:cs="Times New Roman"/>
                <w:color w:val="000000"/>
                <w:sz w:val="24"/>
                <w:szCs w:val="24"/>
              </w:rPr>
            </w:pPr>
            <w:r w:rsidRPr="006B7971">
              <w:rPr>
                <w:rFonts w:ascii="楷体_GB2312" w:eastAsia="楷体_GB2312" w:hAnsi="Calibri" w:cs="Times New Roman" w:hint="eastAsia"/>
                <w:color w:val="000000"/>
                <w:sz w:val="24"/>
                <w:szCs w:val="24"/>
              </w:rPr>
              <w:t>科技、教育、广播电视等工程、体育、文化、旅游等工程、卫生、林业、环卫、社会福利等工程、政府保障性住房等工程、其他公用事业工程的勘察</w:t>
            </w:r>
            <w:r w:rsidRPr="006B7971">
              <w:rPr>
                <w:rFonts w:ascii="楷体_GB2312" w:eastAsia="楷体_GB2312" w:cs="Times New Roman" w:hint="eastAsia"/>
                <w:color w:val="000000"/>
                <w:sz w:val="24"/>
                <w:szCs w:val="24"/>
              </w:rPr>
              <w:t>、设计、施工、监理以及</w:t>
            </w:r>
            <w:r w:rsidRPr="006B7971">
              <w:rPr>
                <w:rFonts w:ascii="楷体_GB2312" w:eastAsia="楷体_GB2312" w:hAnsi="Calibri" w:cs="Times New Roman" w:hint="eastAsia"/>
                <w:color w:val="000000"/>
                <w:sz w:val="24"/>
                <w:szCs w:val="24"/>
              </w:rPr>
              <w:t>与工程建设有关的重要设备、材料的采购，工程建设、运维保养有关的招标代理、代建、监测检验、维修保养等</w:t>
            </w:r>
          </w:p>
        </w:tc>
      </w:tr>
    </w:tbl>
    <w:p w:rsidR="00085157" w:rsidRDefault="00085157">
      <w:pPr>
        <w:rPr>
          <w:rFonts w:ascii="Times New Roman" w:hAnsi="Times New Roman" w:cs="Times New Roman"/>
        </w:rPr>
      </w:pPr>
    </w:p>
    <w:tbl>
      <w:tblPr>
        <w:tblStyle w:val="a9"/>
        <w:tblW w:w="14142" w:type="dxa"/>
        <w:tblLook w:val="04A0" w:firstRow="1" w:lastRow="0" w:firstColumn="1" w:lastColumn="0" w:noHBand="0" w:noVBand="1"/>
      </w:tblPr>
      <w:tblGrid>
        <w:gridCol w:w="877"/>
        <w:gridCol w:w="2492"/>
        <w:gridCol w:w="1842"/>
        <w:gridCol w:w="8931"/>
      </w:tblGrid>
      <w:tr w:rsidR="00085157">
        <w:tc>
          <w:tcPr>
            <w:tcW w:w="877" w:type="dxa"/>
            <w:vAlign w:val="center"/>
          </w:tcPr>
          <w:p w:rsidR="00085157" w:rsidRDefault="00296100">
            <w:pPr>
              <w:spacing w:line="400" w:lineRule="exact"/>
              <w:jc w:val="center"/>
              <w:rPr>
                <w:rFonts w:ascii="Times New Roman" w:eastAsia="黑体" w:hAnsi="Times New Roman" w:cs="Times New Roman"/>
                <w:color w:val="000000"/>
                <w:sz w:val="24"/>
                <w:szCs w:val="24"/>
              </w:rPr>
            </w:pPr>
            <w:r>
              <w:rPr>
                <w:rFonts w:ascii="Times New Roman" w:eastAsia="黑体" w:hAnsi="Times New Roman" w:cs="Times New Roman"/>
                <w:color w:val="000000"/>
                <w:sz w:val="24"/>
                <w:szCs w:val="24"/>
              </w:rPr>
              <w:t>序号</w:t>
            </w:r>
          </w:p>
        </w:tc>
        <w:tc>
          <w:tcPr>
            <w:tcW w:w="2492" w:type="dxa"/>
            <w:vAlign w:val="center"/>
          </w:tcPr>
          <w:p w:rsidR="00085157" w:rsidRDefault="00296100">
            <w:pPr>
              <w:spacing w:line="400" w:lineRule="exact"/>
              <w:jc w:val="center"/>
              <w:rPr>
                <w:rFonts w:ascii="Times New Roman" w:eastAsia="黑体" w:hAnsi="Times New Roman" w:cs="Times New Roman"/>
                <w:color w:val="000000"/>
                <w:sz w:val="24"/>
                <w:szCs w:val="24"/>
              </w:rPr>
            </w:pPr>
            <w:r>
              <w:rPr>
                <w:rFonts w:ascii="Times New Roman" w:eastAsia="黑体" w:hAnsi="Times New Roman" w:cs="Times New Roman"/>
                <w:color w:val="000000"/>
                <w:sz w:val="24"/>
                <w:szCs w:val="24"/>
              </w:rPr>
              <w:t>交易类别</w:t>
            </w:r>
          </w:p>
        </w:tc>
        <w:tc>
          <w:tcPr>
            <w:tcW w:w="10773" w:type="dxa"/>
            <w:gridSpan w:val="2"/>
            <w:vAlign w:val="center"/>
          </w:tcPr>
          <w:p w:rsidR="00085157" w:rsidRDefault="00296100">
            <w:pPr>
              <w:spacing w:line="400" w:lineRule="exact"/>
              <w:jc w:val="center"/>
              <w:rPr>
                <w:rFonts w:ascii="Times New Roman" w:eastAsia="黑体" w:hAnsi="Times New Roman" w:cs="Times New Roman"/>
                <w:color w:val="000000"/>
                <w:sz w:val="24"/>
                <w:szCs w:val="24"/>
              </w:rPr>
            </w:pPr>
            <w:r>
              <w:rPr>
                <w:rFonts w:ascii="Times New Roman" w:eastAsia="黑体" w:hAnsi="Times New Roman" w:cs="Times New Roman"/>
                <w:color w:val="000000"/>
                <w:sz w:val="24"/>
                <w:szCs w:val="24"/>
              </w:rPr>
              <w:t>交易内容</w:t>
            </w:r>
          </w:p>
        </w:tc>
      </w:tr>
      <w:tr w:rsidR="00085157">
        <w:trPr>
          <w:trHeight w:val="663"/>
        </w:trPr>
        <w:tc>
          <w:tcPr>
            <w:tcW w:w="877" w:type="dxa"/>
            <w:vAlign w:val="center"/>
          </w:tcPr>
          <w:p w:rsidR="00085157" w:rsidRPr="006B7971" w:rsidRDefault="00296100">
            <w:pPr>
              <w:overflowPunct w:val="0"/>
              <w:spacing w:line="400" w:lineRule="exact"/>
              <w:jc w:val="center"/>
              <w:rPr>
                <w:rFonts w:ascii="楷体_GB2312" w:eastAsia="楷体_GB2312" w:hAnsi="Times New Roman" w:cs="Times New Roman"/>
                <w:sz w:val="24"/>
                <w:szCs w:val="24"/>
              </w:rPr>
            </w:pPr>
            <w:r w:rsidRPr="006B7971">
              <w:rPr>
                <w:rFonts w:ascii="楷体_GB2312" w:eastAsia="楷体_GB2312" w:hAnsiTheme="minorEastAsia" w:cs="Times New Roman" w:hint="eastAsia"/>
                <w:sz w:val="24"/>
                <w:szCs w:val="24"/>
              </w:rPr>
              <w:t>二</w:t>
            </w:r>
          </w:p>
        </w:tc>
        <w:tc>
          <w:tcPr>
            <w:tcW w:w="2492" w:type="dxa"/>
            <w:vAlign w:val="center"/>
          </w:tcPr>
          <w:p w:rsidR="00085157" w:rsidRPr="006B7971" w:rsidRDefault="00296100">
            <w:pPr>
              <w:overflowPunct w:val="0"/>
              <w:spacing w:line="400" w:lineRule="exact"/>
              <w:jc w:val="center"/>
              <w:rPr>
                <w:rFonts w:ascii="楷体_GB2312" w:eastAsia="楷体_GB2312" w:hAnsi="Times New Roman" w:cs="Times New Roman"/>
                <w:sz w:val="24"/>
                <w:szCs w:val="24"/>
              </w:rPr>
            </w:pPr>
            <w:r w:rsidRPr="006B7971">
              <w:rPr>
                <w:rFonts w:ascii="楷体_GB2312" w:eastAsia="楷体_GB2312" w:hAnsiTheme="minorEastAsia" w:cs="Times New Roman" w:hint="eastAsia"/>
                <w:sz w:val="24"/>
                <w:szCs w:val="24"/>
              </w:rPr>
              <w:t>土地使用权出让</w:t>
            </w:r>
          </w:p>
        </w:tc>
        <w:tc>
          <w:tcPr>
            <w:tcW w:w="10773" w:type="dxa"/>
            <w:gridSpan w:val="2"/>
            <w:vAlign w:val="center"/>
          </w:tcPr>
          <w:p w:rsidR="00085157" w:rsidRPr="006B7971" w:rsidRDefault="00296100">
            <w:pPr>
              <w:overflowPunct w:val="0"/>
              <w:spacing w:line="400" w:lineRule="exact"/>
              <w:rPr>
                <w:rFonts w:ascii="楷体_GB2312" w:eastAsia="楷体_GB2312" w:hAnsi="Times New Roman" w:cs="Times New Roman"/>
                <w:sz w:val="24"/>
                <w:szCs w:val="24"/>
              </w:rPr>
            </w:pPr>
            <w:r w:rsidRPr="006B7971">
              <w:rPr>
                <w:rFonts w:ascii="楷体_GB2312" w:eastAsia="楷体_GB2312" w:cs="Times New Roman" w:hint="eastAsia"/>
                <w:color w:val="000000"/>
                <w:sz w:val="24"/>
                <w:szCs w:val="24"/>
              </w:rPr>
              <w:t>商业、旅游、娱乐、商品住宅等经营性用地出让、工业、科研设计用地及其他用地</w:t>
            </w:r>
          </w:p>
        </w:tc>
      </w:tr>
      <w:tr w:rsidR="00085157">
        <w:tc>
          <w:tcPr>
            <w:tcW w:w="877" w:type="dxa"/>
            <w:vMerge w:val="restart"/>
            <w:vAlign w:val="center"/>
          </w:tcPr>
          <w:p w:rsidR="00085157" w:rsidRPr="006B7971" w:rsidRDefault="00296100">
            <w:pPr>
              <w:overflowPunct w:val="0"/>
              <w:spacing w:line="400" w:lineRule="exact"/>
              <w:jc w:val="center"/>
              <w:rPr>
                <w:rFonts w:ascii="楷体_GB2312" w:eastAsia="楷体_GB2312" w:hAnsi="Times New Roman" w:cs="Times New Roman"/>
                <w:sz w:val="24"/>
                <w:szCs w:val="24"/>
              </w:rPr>
            </w:pPr>
            <w:r w:rsidRPr="006B7971">
              <w:rPr>
                <w:rFonts w:ascii="楷体_GB2312" w:eastAsia="楷体_GB2312" w:hAnsiTheme="minorEastAsia" w:cs="Times New Roman" w:hint="eastAsia"/>
                <w:sz w:val="24"/>
                <w:szCs w:val="24"/>
              </w:rPr>
              <w:t>三</w:t>
            </w:r>
          </w:p>
        </w:tc>
        <w:tc>
          <w:tcPr>
            <w:tcW w:w="2492" w:type="dxa"/>
            <w:vMerge w:val="restart"/>
            <w:vAlign w:val="center"/>
          </w:tcPr>
          <w:p w:rsidR="00085157" w:rsidRPr="006B7971" w:rsidRDefault="00296100">
            <w:pPr>
              <w:overflowPunct w:val="0"/>
              <w:spacing w:line="400" w:lineRule="exact"/>
              <w:jc w:val="center"/>
              <w:rPr>
                <w:rFonts w:ascii="楷体_GB2312" w:eastAsia="楷体_GB2312" w:hAnsi="Times New Roman" w:cs="Times New Roman"/>
                <w:sz w:val="24"/>
                <w:szCs w:val="24"/>
              </w:rPr>
            </w:pPr>
            <w:r w:rsidRPr="006B7971">
              <w:rPr>
                <w:rFonts w:ascii="楷体_GB2312" w:eastAsia="楷体_GB2312" w:hAnsiTheme="minorEastAsia" w:cs="Times New Roman" w:hint="eastAsia"/>
                <w:sz w:val="24"/>
                <w:szCs w:val="24"/>
              </w:rPr>
              <w:t>国有产权交易</w:t>
            </w:r>
          </w:p>
        </w:tc>
        <w:tc>
          <w:tcPr>
            <w:tcW w:w="1842" w:type="dxa"/>
            <w:vAlign w:val="center"/>
          </w:tcPr>
          <w:p w:rsidR="00085157" w:rsidRPr="006B7971" w:rsidRDefault="00296100">
            <w:pPr>
              <w:overflowPunct w:val="0"/>
              <w:spacing w:line="400" w:lineRule="exact"/>
              <w:jc w:val="center"/>
              <w:rPr>
                <w:rFonts w:ascii="楷体_GB2312" w:eastAsia="楷体_GB2312" w:hAnsi="Times New Roman" w:cs="Times New Roman"/>
                <w:color w:val="000000"/>
                <w:kern w:val="0"/>
                <w:sz w:val="24"/>
                <w:szCs w:val="24"/>
              </w:rPr>
            </w:pPr>
            <w:r w:rsidRPr="006B7971">
              <w:rPr>
                <w:rFonts w:ascii="楷体_GB2312" w:eastAsia="楷体_GB2312" w:hAnsi="Calibri" w:cs="Times New Roman" w:hint="eastAsia"/>
                <w:color w:val="000000"/>
                <w:kern w:val="0"/>
                <w:sz w:val="24"/>
                <w:szCs w:val="24"/>
              </w:rPr>
              <w:t>产（股）权</w:t>
            </w:r>
          </w:p>
          <w:p w:rsidR="00085157" w:rsidRPr="006B7971" w:rsidRDefault="00296100">
            <w:pPr>
              <w:overflowPunct w:val="0"/>
              <w:spacing w:line="400" w:lineRule="exact"/>
              <w:jc w:val="center"/>
              <w:rPr>
                <w:rFonts w:ascii="楷体_GB2312" w:eastAsia="楷体_GB2312" w:hAnsi="Times New Roman" w:cs="Times New Roman"/>
                <w:sz w:val="24"/>
                <w:szCs w:val="24"/>
              </w:rPr>
            </w:pPr>
            <w:r w:rsidRPr="006B7971">
              <w:rPr>
                <w:rFonts w:ascii="楷体_GB2312" w:eastAsia="楷体_GB2312" w:hAnsi="Calibri" w:cs="Times New Roman" w:hint="eastAsia"/>
                <w:color w:val="000000"/>
                <w:kern w:val="0"/>
                <w:sz w:val="24"/>
                <w:szCs w:val="24"/>
              </w:rPr>
              <w:t>交易</w:t>
            </w:r>
          </w:p>
        </w:tc>
        <w:tc>
          <w:tcPr>
            <w:tcW w:w="8931" w:type="dxa"/>
          </w:tcPr>
          <w:p w:rsidR="00085157" w:rsidRDefault="00296100">
            <w:pPr>
              <w:overflowPunct w:val="0"/>
              <w:spacing w:line="400" w:lineRule="exact"/>
              <w:rPr>
                <w:rFonts w:ascii="Times New Roman" w:hAnsi="Times New Roman" w:cs="Times New Roman"/>
                <w:color w:val="000000"/>
                <w:sz w:val="24"/>
                <w:szCs w:val="24"/>
              </w:rPr>
            </w:pPr>
            <w:r>
              <w:rPr>
                <w:rFonts w:ascii="Times New Roman" w:cs="Times New Roman"/>
                <w:color w:val="000000"/>
                <w:sz w:val="24"/>
                <w:szCs w:val="24"/>
              </w:rPr>
              <w:t>履行出资人职责的机构、国有及国有控股企业、国有实际控制企业转让其对企业各种形式出资所形成权益的行为，国有及国有控股企业、国有实际控制企业增加资本的行为，行政事业单位分立、撤销、合并、改制、隶属关系改变等原因发生的产权和股权转让，金融企业国有出资所形成权益转让以及增加资本的行为</w:t>
            </w:r>
          </w:p>
        </w:tc>
      </w:tr>
      <w:tr w:rsidR="00085157">
        <w:tc>
          <w:tcPr>
            <w:tcW w:w="877" w:type="dxa"/>
            <w:vMerge/>
            <w:vAlign w:val="center"/>
          </w:tcPr>
          <w:p w:rsidR="00085157" w:rsidRPr="006B7971" w:rsidRDefault="00085157">
            <w:pPr>
              <w:overflowPunct w:val="0"/>
              <w:spacing w:line="400" w:lineRule="exact"/>
              <w:jc w:val="center"/>
              <w:rPr>
                <w:rFonts w:ascii="楷体_GB2312" w:eastAsia="楷体_GB2312" w:hAnsi="Times New Roman" w:cs="Times New Roman"/>
                <w:sz w:val="24"/>
                <w:szCs w:val="24"/>
              </w:rPr>
            </w:pPr>
          </w:p>
        </w:tc>
        <w:tc>
          <w:tcPr>
            <w:tcW w:w="2492" w:type="dxa"/>
            <w:vMerge/>
            <w:vAlign w:val="center"/>
          </w:tcPr>
          <w:p w:rsidR="00085157" w:rsidRPr="006B7971" w:rsidRDefault="00085157">
            <w:pPr>
              <w:overflowPunct w:val="0"/>
              <w:spacing w:line="400" w:lineRule="exact"/>
              <w:jc w:val="center"/>
              <w:rPr>
                <w:rFonts w:ascii="楷体_GB2312" w:eastAsia="楷体_GB2312" w:hAnsi="Times New Roman" w:cs="Times New Roman"/>
                <w:sz w:val="24"/>
                <w:szCs w:val="24"/>
              </w:rPr>
            </w:pPr>
          </w:p>
        </w:tc>
        <w:tc>
          <w:tcPr>
            <w:tcW w:w="1842" w:type="dxa"/>
            <w:vAlign w:val="center"/>
          </w:tcPr>
          <w:p w:rsidR="00085157" w:rsidRPr="006B7971" w:rsidRDefault="00296100">
            <w:pPr>
              <w:overflowPunct w:val="0"/>
              <w:spacing w:line="400" w:lineRule="exact"/>
              <w:jc w:val="center"/>
              <w:rPr>
                <w:rFonts w:ascii="楷体_GB2312" w:eastAsia="楷体_GB2312" w:hAnsi="Times New Roman" w:cs="Times New Roman"/>
                <w:color w:val="000000"/>
                <w:kern w:val="0"/>
                <w:sz w:val="24"/>
                <w:szCs w:val="24"/>
              </w:rPr>
            </w:pPr>
            <w:r w:rsidRPr="006B7971">
              <w:rPr>
                <w:rFonts w:ascii="楷体_GB2312" w:eastAsia="楷体_GB2312" w:hAnsi="Calibri" w:cs="Times New Roman" w:hint="eastAsia"/>
                <w:color w:val="000000"/>
                <w:kern w:val="0"/>
                <w:sz w:val="24"/>
                <w:szCs w:val="24"/>
              </w:rPr>
              <w:t>知识产权</w:t>
            </w:r>
          </w:p>
          <w:p w:rsidR="00085157" w:rsidRPr="006B7971" w:rsidRDefault="00296100">
            <w:pPr>
              <w:overflowPunct w:val="0"/>
              <w:spacing w:line="400" w:lineRule="exact"/>
              <w:jc w:val="center"/>
              <w:rPr>
                <w:rFonts w:ascii="楷体_GB2312" w:eastAsia="楷体_GB2312" w:hAnsi="Times New Roman" w:cs="Times New Roman"/>
                <w:color w:val="000000"/>
                <w:kern w:val="0"/>
                <w:sz w:val="24"/>
                <w:szCs w:val="24"/>
              </w:rPr>
            </w:pPr>
            <w:r w:rsidRPr="006B7971">
              <w:rPr>
                <w:rFonts w:ascii="楷体_GB2312" w:eastAsia="楷体_GB2312" w:hAnsi="Calibri" w:cs="Times New Roman" w:hint="eastAsia"/>
                <w:color w:val="000000"/>
                <w:kern w:val="0"/>
                <w:sz w:val="24"/>
                <w:szCs w:val="24"/>
              </w:rPr>
              <w:t>交易</w:t>
            </w:r>
          </w:p>
        </w:tc>
        <w:tc>
          <w:tcPr>
            <w:tcW w:w="8931" w:type="dxa"/>
          </w:tcPr>
          <w:p w:rsidR="00085157" w:rsidRDefault="00296100">
            <w:pPr>
              <w:overflowPunct w:val="0"/>
              <w:spacing w:line="400" w:lineRule="exact"/>
              <w:rPr>
                <w:rFonts w:ascii="Times New Roman" w:hAnsi="Times New Roman" w:cs="Times New Roman"/>
                <w:sz w:val="24"/>
                <w:szCs w:val="24"/>
              </w:rPr>
            </w:pPr>
            <w:r>
              <w:rPr>
                <w:rFonts w:ascii="Times New Roman" w:eastAsia="宋体" w:hAnsi="Calibri" w:cs="Times New Roman"/>
                <w:color w:val="000000"/>
                <w:kern w:val="0"/>
                <w:sz w:val="24"/>
                <w:szCs w:val="24"/>
              </w:rPr>
              <w:t>企业、事业单位国有知识产权项目</w:t>
            </w:r>
            <w:r>
              <w:rPr>
                <w:rFonts w:ascii="Times New Roman" w:eastAsia="宋体" w:hAnsi="Calibri" w:cs="Times New Roman"/>
                <w:color w:val="000000"/>
                <w:sz w:val="24"/>
                <w:szCs w:val="24"/>
              </w:rPr>
              <w:t>（含</w:t>
            </w:r>
            <w:r>
              <w:rPr>
                <w:rFonts w:ascii="Times New Roman" w:eastAsia="宋体" w:hAnsi="Calibri" w:cs="Times New Roman"/>
                <w:color w:val="000000"/>
                <w:kern w:val="0"/>
                <w:sz w:val="24"/>
                <w:szCs w:val="24"/>
              </w:rPr>
              <w:t>专利权转让，商标所有权、使用权转让，其他知识产权转让等）</w:t>
            </w:r>
            <w:r>
              <w:rPr>
                <w:rFonts w:ascii="Times New Roman" w:cs="Times New Roman"/>
                <w:color w:val="000000"/>
                <w:kern w:val="0"/>
                <w:sz w:val="24"/>
                <w:szCs w:val="24"/>
              </w:rPr>
              <w:t>，</w:t>
            </w:r>
            <w:r>
              <w:rPr>
                <w:rFonts w:ascii="Times New Roman" w:eastAsia="宋体" w:hAnsi="Calibri" w:cs="Times New Roman"/>
                <w:color w:val="000000"/>
                <w:kern w:val="0"/>
                <w:sz w:val="24"/>
                <w:szCs w:val="24"/>
              </w:rPr>
              <w:t>政府相关部门组织的专利技术转让、其他知识产权转让等国有技术产权交易项目</w:t>
            </w:r>
          </w:p>
        </w:tc>
      </w:tr>
      <w:tr w:rsidR="00085157">
        <w:tc>
          <w:tcPr>
            <w:tcW w:w="877" w:type="dxa"/>
            <w:vMerge/>
            <w:vAlign w:val="center"/>
          </w:tcPr>
          <w:p w:rsidR="00085157" w:rsidRPr="006B7971" w:rsidRDefault="00085157">
            <w:pPr>
              <w:overflowPunct w:val="0"/>
              <w:spacing w:line="400" w:lineRule="exact"/>
              <w:jc w:val="center"/>
              <w:rPr>
                <w:rFonts w:ascii="楷体_GB2312" w:eastAsia="楷体_GB2312" w:hAnsi="Times New Roman" w:cs="Times New Roman"/>
                <w:sz w:val="24"/>
                <w:szCs w:val="24"/>
              </w:rPr>
            </w:pPr>
          </w:p>
        </w:tc>
        <w:tc>
          <w:tcPr>
            <w:tcW w:w="2492" w:type="dxa"/>
            <w:vMerge/>
            <w:vAlign w:val="center"/>
          </w:tcPr>
          <w:p w:rsidR="00085157" w:rsidRPr="006B7971" w:rsidRDefault="00085157">
            <w:pPr>
              <w:overflowPunct w:val="0"/>
              <w:spacing w:line="400" w:lineRule="exact"/>
              <w:jc w:val="center"/>
              <w:rPr>
                <w:rFonts w:ascii="楷体_GB2312" w:eastAsia="楷体_GB2312" w:hAnsi="Times New Roman" w:cs="Times New Roman"/>
                <w:sz w:val="24"/>
                <w:szCs w:val="24"/>
              </w:rPr>
            </w:pPr>
          </w:p>
        </w:tc>
        <w:tc>
          <w:tcPr>
            <w:tcW w:w="1842" w:type="dxa"/>
            <w:vAlign w:val="center"/>
          </w:tcPr>
          <w:p w:rsidR="00085157" w:rsidRPr="006B7971" w:rsidRDefault="00296100">
            <w:pPr>
              <w:overflowPunct w:val="0"/>
              <w:spacing w:line="400" w:lineRule="exact"/>
              <w:jc w:val="center"/>
              <w:rPr>
                <w:rFonts w:ascii="楷体_GB2312" w:eastAsia="楷体_GB2312" w:hAnsi="Times New Roman" w:cs="Times New Roman"/>
                <w:color w:val="000000"/>
                <w:kern w:val="0"/>
                <w:sz w:val="24"/>
                <w:szCs w:val="24"/>
              </w:rPr>
            </w:pPr>
            <w:r w:rsidRPr="006B7971">
              <w:rPr>
                <w:rFonts w:ascii="楷体_GB2312" w:eastAsia="楷体_GB2312" w:hAnsi="Calibri" w:cs="Times New Roman" w:hint="eastAsia"/>
                <w:color w:val="000000"/>
                <w:kern w:val="0"/>
                <w:sz w:val="24"/>
                <w:szCs w:val="24"/>
              </w:rPr>
              <w:t>物权交易</w:t>
            </w:r>
          </w:p>
        </w:tc>
        <w:tc>
          <w:tcPr>
            <w:tcW w:w="8931" w:type="dxa"/>
          </w:tcPr>
          <w:p w:rsidR="00085157" w:rsidRDefault="00296100">
            <w:pPr>
              <w:overflowPunct w:val="0"/>
              <w:spacing w:line="400" w:lineRule="exact"/>
              <w:rPr>
                <w:rFonts w:ascii="Times New Roman" w:hAnsi="Times New Roman" w:cs="Times New Roman"/>
                <w:sz w:val="24"/>
                <w:szCs w:val="24"/>
              </w:rPr>
            </w:pPr>
            <w:r>
              <w:rPr>
                <w:rFonts w:ascii="Times New Roman" w:cs="Times New Roman"/>
                <w:color w:val="000000"/>
                <w:sz w:val="24"/>
                <w:szCs w:val="24"/>
              </w:rPr>
              <w:t>国有及国有控股企业、国有实际控制企业的重大资产转让行为</w:t>
            </w:r>
            <w:r>
              <w:rPr>
                <w:rFonts w:ascii="Times New Roman" w:eastAsia="宋体" w:hAnsi="Calibri" w:cs="Times New Roman"/>
                <w:color w:val="000000"/>
                <w:kern w:val="0"/>
                <w:sz w:val="24"/>
                <w:szCs w:val="24"/>
              </w:rPr>
              <w:t>（含公房、公车等闲置资产出售、租赁，有一定价值的废旧、淘汰物品处置，其它物品处置）</w:t>
            </w:r>
            <w:r>
              <w:rPr>
                <w:rFonts w:ascii="Times New Roman" w:cs="Times New Roman"/>
                <w:color w:val="000000"/>
                <w:sz w:val="24"/>
                <w:szCs w:val="24"/>
              </w:rPr>
              <w:t>，</w:t>
            </w:r>
            <w:r>
              <w:rPr>
                <w:rFonts w:ascii="Times New Roman" w:eastAsia="宋体" w:hAnsi="Calibri" w:cs="Times New Roman"/>
                <w:color w:val="000000"/>
                <w:sz w:val="24"/>
                <w:szCs w:val="24"/>
              </w:rPr>
              <w:t>行政</w:t>
            </w:r>
            <w:r>
              <w:rPr>
                <w:rFonts w:ascii="Times New Roman" w:eastAsia="宋体" w:hAnsi="Calibri" w:cs="Times New Roman"/>
                <w:color w:val="000000"/>
                <w:kern w:val="0"/>
                <w:sz w:val="24"/>
                <w:szCs w:val="24"/>
              </w:rPr>
              <w:t>机关、团体、事业单位资产处置等产权、物权交易项目（含公房、公车等闲置资产出售、租赁，有一定价值的废旧、淘汰物品处置，各类上交物品处置，其他物品处置）</w:t>
            </w:r>
          </w:p>
        </w:tc>
      </w:tr>
      <w:tr w:rsidR="00085157">
        <w:tc>
          <w:tcPr>
            <w:tcW w:w="877" w:type="dxa"/>
            <w:vAlign w:val="center"/>
          </w:tcPr>
          <w:p w:rsidR="00085157" w:rsidRPr="006B7971" w:rsidRDefault="00296100">
            <w:pPr>
              <w:overflowPunct w:val="0"/>
              <w:spacing w:line="400" w:lineRule="exact"/>
              <w:jc w:val="center"/>
              <w:rPr>
                <w:rFonts w:ascii="楷体_GB2312" w:eastAsia="楷体_GB2312" w:hAnsi="Times New Roman" w:cs="Times New Roman"/>
                <w:sz w:val="24"/>
                <w:szCs w:val="24"/>
              </w:rPr>
            </w:pPr>
            <w:r w:rsidRPr="006B7971">
              <w:rPr>
                <w:rFonts w:ascii="楷体_GB2312" w:eastAsia="楷体_GB2312" w:hAnsiTheme="minorEastAsia" w:cs="Times New Roman" w:hint="eastAsia"/>
                <w:sz w:val="24"/>
                <w:szCs w:val="24"/>
              </w:rPr>
              <w:t>四</w:t>
            </w:r>
          </w:p>
        </w:tc>
        <w:tc>
          <w:tcPr>
            <w:tcW w:w="2492" w:type="dxa"/>
            <w:vAlign w:val="center"/>
          </w:tcPr>
          <w:p w:rsidR="00085157" w:rsidRPr="006B7971" w:rsidRDefault="00296100">
            <w:pPr>
              <w:overflowPunct w:val="0"/>
              <w:spacing w:line="400" w:lineRule="exact"/>
              <w:jc w:val="center"/>
              <w:rPr>
                <w:rFonts w:ascii="楷体_GB2312" w:eastAsia="楷体_GB2312" w:hAnsi="Times New Roman" w:cs="Times New Roman"/>
                <w:color w:val="000000"/>
                <w:kern w:val="0"/>
                <w:sz w:val="24"/>
                <w:szCs w:val="24"/>
              </w:rPr>
            </w:pPr>
            <w:r w:rsidRPr="006B7971">
              <w:rPr>
                <w:rFonts w:ascii="楷体_GB2312" w:eastAsia="楷体_GB2312" w:cs="Times New Roman" w:hint="eastAsia"/>
                <w:color w:val="000000"/>
                <w:kern w:val="0"/>
                <w:sz w:val="24"/>
                <w:szCs w:val="24"/>
              </w:rPr>
              <w:t>政府采购</w:t>
            </w:r>
          </w:p>
        </w:tc>
        <w:tc>
          <w:tcPr>
            <w:tcW w:w="10773" w:type="dxa"/>
            <w:gridSpan w:val="2"/>
            <w:vAlign w:val="center"/>
          </w:tcPr>
          <w:p w:rsidR="00085157" w:rsidRPr="006B7971" w:rsidRDefault="00296100">
            <w:pPr>
              <w:overflowPunct w:val="0"/>
              <w:spacing w:line="400" w:lineRule="exact"/>
              <w:rPr>
                <w:rFonts w:ascii="楷体_GB2312" w:eastAsia="楷体_GB2312" w:hAnsi="Times New Roman" w:cs="Times New Roman"/>
                <w:color w:val="000000"/>
                <w:sz w:val="24"/>
                <w:szCs w:val="24"/>
              </w:rPr>
            </w:pPr>
            <w:r w:rsidRPr="006B7971">
              <w:rPr>
                <w:rFonts w:ascii="楷体_GB2312" w:eastAsia="楷体_GB2312" w:hAnsi="Calibri" w:cs="Times New Roman" w:hint="eastAsia"/>
                <w:color w:val="000000"/>
                <w:kern w:val="0"/>
                <w:sz w:val="24"/>
                <w:szCs w:val="24"/>
              </w:rPr>
              <w:t>国家机关、事业单位和团体组织使用财政性资金采购依法制定的集中采购目录以内的或者采购限额标准以上的工程、货物及服务</w:t>
            </w:r>
          </w:p>
        </w:tc>
      </w:tr>
      <w:tr w:rsidR="006B7971">
        <w:tc>
          <w:tcPr>
            <w:tcW w:w="877" w:type="dxa"/>
            <w:vAlign w:val="center"/>
          </w:tcPr>
          <w:p w:rsidR="006B7971" w:rsidRPr="006B7971" w:rsidRDefault="006B7971" w:rsidP="00AB28B9">
            <w:pPr>
              <w:overflowPunct w:val="0"/>
              <w:spacing w:line="400" w:lineRule="exact"/>
              <w:jc w:val="center"/>
              <w:rPr>
                <w:rFonts w:ascii="楷体_GB2312" w:eastAsia="楷体_GB2312" w:hAnsi="Times New Roman" w:cs="Times New Roman"/>
                <w:sz w:val="24"/>
                <w:szCs w:val="24"/>
              </w:rPr>
            </w:pPr>
            <w:r w:rsidRPr="006B7971">
              <w:rPr>
                <w:rFonts w:ascii="楷体_GB2312" w:eastAsia="楷体_GB2312" w:hAnsiTheme="minorEastAsia" w:cs="Times New Roman" w:hint="eastAsia"/>
                <w:sz w:val="24"/>
                <w:szCs w:val="24"/>
              </w:rPr>
              <w:t>五</w:t>
            </w:r>
          </w:p>
        </w:tc>
        <w:tc>
          <w:tcPr>
            <w:tcW w:w="2492" w:type="dxa"/>
            <w:vAlign w:val="center"/>
          </w:tcPr>
          <w:p w:rsidR="006B7971" w:rsidRPr="006B7971" w:rsidRDefault="006B7971" w:rsidP="00AB28B9">
            <w:pPr>
              <w:overflowPunct w:val="0"/>
              <w:spacing w:line="400" w:lineRule="exact"/>
              <w:jc w:val="center"/>
              <w:rPr>
                <w:rFonts w:ascii="楷体_GB2312" w:eastAsia="楷体_GB2312" w:hAnsi="Times New Roman" w:cs="Times New Roman"/>
                <w:color w:val="000000"/>
                <w:kern w:val="0"/>
                <w:sz w:val="24"/>
                <w:szCs w:val="24"/>
              </w:rPr>
            </w:pPr>
            <w:r w:rsidRPr="006B7971">
              <w:rPr>
                <w:rFonts w:ascii="楷体_GB2312" w:eastAsia="楷体_GB2312" w:cs="Times New Roman" w:hint="eastAsia"/>
                <w:color w:val="000000"/>
                <w:kern w:val="0"/>
                <w:sz w:val="24"/>
                <w:szCs w:val="24"/>
              </w:rPr>
              <w:t>机电设备国内招标</w:t>
            </w:r>
          </w:p>
        </w:tc>
        <w:tc>
          <w:tcPr>
            <w:tcW w:w="10773" w:type="dxa"/>
            <w:gridSpan w:val="2"/>
            <w:vAlign w:val="center"/>
          </w:tcPr>
          <w:p w:rsidR="006B7971" w:rsidRPr="006B7971" w:rsidRDefault="006B7971" w:rsidP="00AB28B9">
            <w:pPr>
              <w:overflowPunct w:val="0"/>
              <w:spacing w:line="400" w:lineRule="exact"/>
              <w:rPr>
                <w:rFonts w:ascii="楷体_GB2312" w:eastAsia="楷体_GB2312" w:hAnsi="Times New Roman" w:cs="Times New Roman"/>
                <w:color w:val="000000"/>
                <w:kern w:val="0"/>
                <w:sz w:val="24"/>
                <w:szCs w:val="24"/>
              </w:rPr>
            </w:pPr>
            <w:r w:rsidRPr="006B7971">
              <w:rPr>
                <w:rFonts w:ascii="楷体_GB2312" w:eastAsia="楷体_GB2312" w:hAnsi="Calibri" w:cs="Times New Roman" w:hint="eastAsia"/>
                <w:color w:val="000000"/>
                <w:kern w:val="0"/>
                <w:sz w:val="24"/>
                <w:szCs w:val="24"/>
              </w:rPr>
              <w:t>企业使用国有资金采购的机电设备，包括但不限于机械加工、自动化生产、工业机器人等产业类设备，计算机、打印机、复印机、传真机、通讯等信息类设备，家用电器、家用加工机械、汽车电子化产品、健身运动机械等民生类设备</w:t>
            </w:r>
          </w:p>
        </w:tc>
      </w:tr>
      <w:tr w:rsidR="006B7971">
        <w:tc>
          <w:tcPr>
            <w:tcW w:w="877" w:type="dxa"/>
            <w:vAlign w:val="center"/>
          </w:tcPr>
          <w:p w:rsidR="006B7971" w:rsidRPr="006B7971" w:rsidRDefault="006B7971" w:rsidP="00AB28B9">
            <w:pPr>
              <w:overflowPunct w:val="0"/>
              <w:spacing w:line="400" w:lineRule="exact"/>
              <w:jc w:val="center"/>
              <w:rPr>
                <w:rFonts w:ascii="楷体_GB2312" w:eastAsia="楷体_GB2312" w:hAnsi="Times New Roman" w:cs="Times New Roman"/>
                <w:sz w:val="24"/>
                <w:szCs w:val="24"/>
              </w:rPr>
            </w:pPr>
            <w:r w:rsidRPr="006B7971">
              <w:rPr>
                <w:rFonts w:ascii="楷体_GB2312" w:eastAsia="楷体_GB2312" w:hAnsiTheme="minorEastAsia" w:cs="Times New Roman" w:hint="eastAsia"/>
                <w:sz w:val="24"/>
                <w:szCs w:val="24"/>
              </w:rPr>
              <w:t>六</w:t>
            </w:r>
          </w:p>
        </w:tc>
        <w:tc>
          <w:tcPr>
            <w:tcW w:w="2492" w:type="dxa"/>
            <w:vAlign w:val="center"/>
          </w:tcPr>
          <w:p w:rsidR="006B7971" w:rsidRPr="006B7971" w:rsidRDefault="006B7971" w:rsidP="00AB28B9">
            <w:pPr>
              <w:overflowPunct w:val="0"/>
              <w:spacing w:line="400" w:lineRule="exact"/>
              <w:jc w:val="center"/>
              <w:rPr>
                <w:rFonts w:ascii="楷体_GB2312" w:eastAsia="楷体_GB2312" w:hAnsi="Times New Roman" w:cs="Times New Roman"/>
                <w:color w:val="000000"/>
                <w:kern w:val="0"/>
                <w:sz w:val="24"/>
                <w:szCs w:val="24"/>
              </w:rPr>
            </w:pPr>
            <w:r w:rsidRPr="006B7971">
              <w:rPr>
                <w:rFonts w:ascii="楷体_GB2312" w:eastAsia="楷体_GB2312" w:cs="Times New Roman" w:hint="eastAsia"/>
                <w:color w:val="000000"/>
                <w:kern w:val="0"/>
                <w:sz w:val="24"/>
                <w:szCs w:val="24"/>
              </w:rPr>
              <w:t>农村集体产权交易</w:t>
            </w:r>
          </w:p>
        </w:tc>
        <w:tc>
          <w:tcPr>
            <w:tcW w:w="10773" w:type="dxa"/>
            <w:gridSpan w:val="2"/>
            <w:vAlign w:val="center"/>
          </w:tcPr>
          <w:p w:rsidR="006B7971" w:rsidRPr="006B7971" w:rsidRDefault="006B7971" w:rsidP="00AB28B9">
            <w:pPr>
              <w:overflowPunct w:val="0"/>
              <w:spacing w:line="400" w:lineRule="exact"/>
              <w:rPr>
                <w:rFonts w:ascii="楷体_GB2312" w:eastAsia="楷体_GB2312" w:hAnsi="Times New Roman" w:cs="Times New Roman"/>
                <w:color w:val="000000"/>
                <w:kern w:val="0"/>
                <w:sz w:val="24"/>
                <w:szCs w:val="24"/>
              </w:rPr>
            </w:pPr>
            <w:r w:rsidRPr="006B7971">
              <w:rPr>
                <w:rFonts w:ascii="楷体_GB2312" w:eastAsia="楷体_GB2312" w:cs="Times New Roman" w:hint="eastAsia"/>
                <w:color w:val="000000"/>
                <w:kern w:val="0"/>
                <w:sz w:val="24"/>
                <w:szCs w:val="24"/>
              </w:rPr>
              <w:t>农村集体土地经营权流转、农村集体经营性资产出租、农村集体资产股权转让</w:t>
            </w:r>
          </w:p>
        </w:tc>
      </w:tr>
    </w:tbl>
    <w:p w:rsidR="00085157" w:rsidRDefault="00085157">
      <w:pPr>
        <w:rPr>
          <w:rFonts w:ascii="Times New Roman" w:hAnsi="Times New Roman" w:cs="Times New Roman"/>
        </w:rPr>
      </w:pPr>
    </w:p>
    <w:tbl>
      <w:tblPr>
        <w:tblStyle w:val="a9"/>
        <w:tblW w:w="14142" w:type="dxa"/>
        <w:tblLook w:val="04A0" w:firstRow="1" w:lastRow="0" w:firstColumn="1" w:lastColumn="0" w:noHBand="0" w:noVBand="1"/>
      </w:tblPr>
      <w:tblGrid>
        <w:gridCol w:w="959"/>
        <w:gridCol w:w="2410"/>
        <w:gridCol w:w="10773"/>
      </w:tblGrid>
      <w:tr w:rsidR="00085157" w:rsidTr="006B7971">
        <w:tc>
          <w:tcPr>
            <w:tcW w:w="959" w:type="dxa"/>
            <w:vAlign w:val="center"/>
          </w:tcPr>
          <w:p w:rsidR="00085157" w:rsidRDefault="00296100">
            <w:pPr>
              <w:spacing w:line="400" w:lineRule="exact"/>
              <w:jc w:val="center"/>
              <w:rPr>
                <w:rFonts w:ascii="Times New Roman" w:eastAsia="黑体" w:hAnsi="Times New Roman" w:cs="Times New Roman"/>
                <w:color w:val="000000"/>
                <w:sz w:val="24"/>
                <w:szCs w:val="24"/>
              </w:rPr>
            </w:pPr>
            <w:r>
              <w:rPr>
                <w:rFonts w:ascii="Times New Roman" w:eastAsia="黑体" w:hAnsi="Times New Roman" w:cs="Times New Roman"/>
                <w:color w:val="000000"/>
                <w:sz w:val="24"/>
                <w:szCs w:val="24"/>
              </w:rPr>
              <w:t>序号</w:t>
            </w:r>
          </w:p>
        </w:tc>
        <w:tc>
          <w:tcPr>
            <w:tcW w:w="2410" w:type="dxa"/>
            <w:vAlign w:val="center"/>
          </w:tcPr>
          <w:p w:rsidR="00085157" w:rsidRDefault="00296100">
            <w:pPr>
              <w:spacing w:line="400" w:lineRule="exact"/>
              <w:jc w:val="center"/>
              <w:rPr>
                <w:rFonts w:ascii="Times New Roman" w:eastAsia="黑体" w:hAnsi="Times New Roman" w:cs="Times New Roman"/>
                <w:color w:val="000000"/>
                <w:sz w:val="24"/>
                <w:szCs w:val="24"/>
              </w:rPr>
            </w:pPr>
            <w:r>
              <w:rPr>
                <w:rFonts w:ascii="Times New Roman" w:eastAsia="黑体" w:hAnsi="Times New Roman" w:cs="Times New Roman"/>
                <w:color w:val="000000"/>
                <w:sz w:val="24"/>
                <w:szCs w:val="24"/>
              </w:rPr>
              <w:t>交易类别</w:t>
            </w:r>
          </w:p>
        </w:tc>
        <w:tc>
          <w:tcPr>
            <w:tcW w:w="10773" w:type="dxa"/>
            <w:vAlign w:val="center"/>
          </w:tcPr>
          <w:p w:rsidR="00085157" w:rsidRDefault="00296100">
            <w:pPr>
              <w:spacing w:line="400" w:lineRule="exact"/>
              <w:jc w:val="center"/>
              <w:rPr>
                <w:rFonts w:ascii="Times New Roman" w:eastAsia="黑体" w:hAnsi="Times New Roman" w:cs="Times New Roman"/>
                <w:color w:val="000000"/>
                <w:sz w:val="24"/>
                <w:szCs w:val="24"/>
              </w:rPr>
            </w:pPr>
            <w:r>
              <w:rPr>
                <w:rFonts w:ascii="Times New Roman" w:eastAsia="黑体" w:hAnsi="Times New Roman" w:cs="Times New Roman"/>
                <w:color w:val="000000"/>
                <w:sz w:val="24"/>
                <w:szCs w:val="24"/>
              </w:rPr>
              <w:t>交易内容</w:t>
            </w:r>
          </w:p>
        </w:tc>
      </w:tr>
      <w:tr w:rsidR="00085157" w:rsidTr="006B7971">
        <w:tc>
          <w:tcPr>
            <w:tcW w:w="959" w:type="dxa"/>
            <w:vAlign w:val="center"/>
          </w:tcPr>
          <w:p w:rsidR="00085157" w:rsidRPr="006B7971" w:rsidRDefault="00296100">
            <w:pPr>
              <w:overflowPunct w:val="0"/>
              <w:spacing w:line="400" w:lineRule="exact"/>
              <w:jc w:val="center"/>
              <w:rPr>
                <w:rFonts w:ascii="楷体_GB2312" w:eastAsia="楷体_GB2312" w:hAnsi="Times New Roman" w:cs="Times New Roman"/>
                <w:sz w:val="24"/>
                <w:szCs w:val="24"/>
              </w:rPr>
            </w:pPr>
            <w:r w:rsidRPr="006B7971">
              <w:rPr>
                <w:rFonts w:ascii="楷体_GB2312" w:eastAsia="楷体_GB2312" w:hAnsiTheme="minorEastAsia" w:cs="Times New Roman" w:hint="eastAsia"/>
                <w:sz w:val="24"/>
                <w:szCs w:val="24"/>
              </w:rPr>
              <w:t>七</w:t>
            </w:r>
          </w:p>
        </w:tc>
        <w:tc>
          <w:tcPr>
            <w:tcW w:w="2410" w:type="dxa"/>
            <w:vAlign w:val="center"/>
          </w:tcPr>
          <w:p w:rsidR="00085157" w:rsidRPr="006B7971" w:rsidRDefault="00296100">
            <w:pPr>
              <w:overflowPunct w:val="0"/>
              <w:spacing w:line="400" w:lineRule="exact"/>
              <w:jc w:val="center"/>
              <w:rPr>
                <w:rFonts w:ascii="楷体_GB2312" w:eastAsia="楷体_GB2312" w:hAnsi="Times New Roman" w:cs="Times New Roman"/>
                <w:color w:val="000000"/>
                <w:kern w:val="0"/>
                <w:sz w:val="24"/>
                <w:szCs w:val="24"/>
              </w:rPr>
            </w:pPr>
            <w:r w:rsidRPr="006B7971">
              <w:rPr>
                <w:rFonts w:ascii="楷体_GB2312" w:eastAsia="楷体_GB2312" w:cs="Times New Roman" w:hint="eastAsia"/>
                <w:color w:val="000000"/>
                <w:kern w:val="0"/>
                <w:sz w:val="24"/>
                <w:szCs w:val="24"/>
              </w:rPr>
              <w:t>无形资产交易</w:t>
            </w:r>
          </w:p>
        </w:tc>
        <w:tc>
          <w:tcPr>
            <w:tcW w:w="10773" w:type="dxa"/>
            <w:vAlign w:val="center"/>
          </w:tcPr>
          <w:p w:rsidR="00085157" w:rsidRPr="006B7971" w:rsidRDefault="00296100">
            <w:pPr>
              <w:overflowPunct w:val="0"/>
              <w:spacing w:line="400" w:lineRule="exact"/>
              <w:rPr>
                <w:rFonts w:ascii="楷体_GB2312" w:eastAsia="楷体_GB2312" w:hAnsi="Times New Roman" w:cs="Times New Roman"/>
                <w:color w:val="000000"/>
                <w:kern w:val="0"/>
                <w:sz w:val="24"/>
                <w:szCs w:val="24"/>
              </w:rPr>
            </w:pPr>
            <w:r w:rsidRPr="006B7971">
              <w:rPr>
                <w:rFonts w:ascii="楷体_GB2312" w:eastAsia="楷体_GB2312" w:cs="Times New Roman" w:hint="eastAsia"/>
                <w:color w:val="000000"/>
                <w:kern w:val="0"/>
                <w:sz w:val="24"/>
                <w:szCs w:val="24"/>
              </w:rPr>
              <w:t>基础设施和公用事业特许经营权授予，市政公用设施及公共场地使用权、承包经营权、冠名权有偿转让，经营性国有资产租赁及经营性权益转让，政府举办的体育赛事承办运营权、冠名及赞助权、转播权等无形资产开发</w:t>
            </w:r>
          </w:p>
        </w:tc>
      </w:tr>
      <w:tr w:rsidR="00085157" w:rsidTr="006B7971">
        <w:tc>
          <w:tcPr>
            <w:tcW w:w="959" w:type="dxa"/>
            <w:vAlign w:val="center"/>
          </w:tcPr>
          <w:p w:rsidR="00085157" w:rsidRPr="006B7971" w:rsidRDefault="00296100">
            <w:pPr>
              <w:overflowPunct w:val="0"/>
              <w:spacing w:line="400" w:lineRule="exact"/>
              <w:jc w:val="center"/>
              <w:rPr>
                <w:rFonts w:ascii="楷体_GB2312" w:eastAsia="楷体_GB2312" w:hAnsi="Times New Roman" w:cs="Times New Roman"/>
                <w:sz w:val="24"/>
                <w:szCs w:val="24"/>
              </w:rPr>
            </w:pPr>
            <w:r w:rsidRPr="006B7971">
              <w:rPr>
                <w:rFonts w:ascii="楷体_GB2312" w:eastAsia="楷体_GB2312" w:hAnsiTheme="minorEastAsia" w:cs="Times New Roman" w:hint="eastAsia"/>
                <w:sz w:val="24"/>
                <w:szCs w:val="24"/>
              </w:rPr>
              <w:t>八</w:t>
            </w:r>
          </w:p>
        </w:tc>
        <w:tc>
          <w:tcPr>
            <w:tcW w:w="2410" w:type="dxa"/>
            <w:vAlign w:val="center"/>
          </w:tcPr>
          <w:p w:rsidR="00085157" w:rsidRPr="006B7971" w:rsidRDefault="00296100">
            <w:pPr>
              <w:overflowPunct w:val="0"/>
              <w:spacing w:line="400" w:lineRule="exact"/>
              <w:jc w:val="center"/>
              <w:rPr>
                <w:rFonts w:ascii="楷体_GB2312" w:eastAsia="楷体_GB2312" w:hAnsi="Times New Roman" w:cs="Times New Roman"/>
                <w:color w:val="000000"/>
                <w:kern w:val="0"/>
                <w:sz w:val="24"/>
                <w:szCs w:val="24"/>
              </w:rPr>
            </w:pPr>
            <w:r w:rsidRPr="006B7971">
              <w:rPr>
                <w:rFonts w:ascii="楷体_GB2312" w:eastAsia="楷体_GB2312" w:cs="Times New Roman" w:hint="eastAsia"/>
                <w:color w:val="000000"/>
                <w:kern w:val="0"/>
                <w:sz w:val="24"/>
                <w:szCs w:val="24"/>
              </w:rPr>
              <w:t>技术交易</w:t>
            </w:r>
          </w:p>
        </w:tc>
        <w:tc>
          <w:tcPr>
            <w:tcW w:w="10773" w:type="dxa"/>
            <w:vAlign w:val="center"/>
          </w:tcPr>
          <w:p w:rsidR="00085157" w:rsidRPr="006B7971" w:rsidRDefault="00296100">
            <w:pPr>
              <w:overflowPunct w:val="0"/>
              <w:spacing w:line="400" w:lineRule="exact"/>
              <w:rPr>
                <w:rFonts w:ascii="楷体_GB2312" w:eastAsia="楷体_GB2312" w:hAnsi="Times New Roman" w:cs="Times New Roman"/>
                <w:color w:val="000000"/>
                <w:kern w:val="0"/>
                <w:sz w:val="24"/>
                <w:szCs w:val="24"/>
              </w:rPr>
            </w:pPr>
            <w:r w:rsidRPr="006B7971">
              <w:rPr>
                <w:rFonts w:ascii="楷体_GB2312" w:eastAsia="楷体_GB2312" w:cs="Times New Roman" w:hint="eastAsia"/>
                <w:color w:val="000000"/>
                <w:kern w:val="0"/>
                <w:sz w:val="24"/>
                <w:szCs w:val="24"/>
              </w:rPr>
              <w:t>企业、事业单位获得财政资金支持的科技成果交易、技术服务交易，科研事业单位职务科技成果交易、技术服务交易（含技术转让、技术许可、技术作价入股、技术服务采购、技术合作开发等），以及政府相关部门组织的技术成果转让、技术成果推广、技术成果供需对接等非关系到国家经济安全、国防安全和国家秘密的科技成果</w:t>
            </w:r>
          </w:p>
        </w:tc>
      </w:tr>
      <w:tr w:rsidR="00085157" w:rsidTr="006B7971">
        <w:trPr>
          <w:trHeight w:val="431"/>
        </w:trPr>
        <w:tc>
          <w:tcPr>
            <w:tcW w:w="959" w:type="dxa"/>
            <w:vAlign w:val="center"/>
          </w:tcPr>
          <w:p w:rsidR="00085157" w:rsidRPr="006B7971" w:rsidRDefault="00296100">
            <w:pPr>
              <w:overflowPunct w:val="0"/>
              <w:spacing w:line="400" w:lineRule="exact"/>
              <w:jc w:val="center"/>
              <w:rPr>
                <w:rFonts w:ascii="楷体_GB2312" w:eastAsia="楷体_GB2312" w:hAnsi="Times New Roman" w:cs="Times New Roman"/>
                <w:sz w:val="24"/>
                <w:szCs w:val="24"/>
              </w:rPr>
            </w:pPr>
            <w:r w:rsidRPr="006B7971">
              <w:rPr>
                <w:rFonts w:ascii="楷体_GB2312" w:eastAsia="楷体_GB2312" w:hAnsiTheme="minorEastAsia" w:cs="Times New Roman" w:hint="eastAsia"/>
                <w:sz w:val="24"/>
                <w:szCs w:val="24"/>
              </w:rPr>
              <w:t>九</w:t>
            </w:r>
          </w:p>
        </w:tc>
        <w:tc>
          <w:tcPr>
            <w:tcW w:w="2410" w:type="dxa"/>
            <w:vAlign w:val="center"/>
          </w:tcPr>
          <w:p w:rsidR="00085157" w:rsidRPr="006B7971" w:rsidRDefault="00296100">
            <w:pPr>
              <w:overflowPunct w:val="0"/>
              <w:spacing w:line="400" w:lineRule="exact"/>
              <w:jc w:val="center"/>
              <w:rPr>
                <w:rFonts w:ascii="楷体_GB2312" w:eastAsia="楷体_GB2312" w:hAnsi="Times New Roman" w:cs="Times New Roman"/>
                <w:color w:val="000000"/>
                <w:kern w:val="0"/>
                <w:sz w:val="24"/>
                <w:szCs w:val="24"/>
              </w:rPr>
            </w:pPr>
            <w:r w:rsidRPr="006B7971">
              <w:rPr>
                <w:rFonts w:ascii="楷体_GB2312" w:eastAsia="楷体_GB2312" w:cs="Times New Roman" w:hint="eastAsia"/>
                <w:color w:val="000000"/>
                <w:kern w:val="0"/>
                <w:sz w:val="24"/>
                <w:szCs w:val="24"/>
              </w:rPr>
              <w:t>碳排放交易</w:t>
            </w:r>
          </w:p>
        </w:tc>
        <w:tc>
          <w:tcPr>
            <w:tcW w:w="10773" w:type="dxa"/>
            <w:vAlign w:val="center"/>
          </w:tcPr>
          <w:p w:rsidR="00085157" w:rsidRPr="006B7971" w:rsidRDefault="00296100">
            <w:pPr>
              <w:overflowPunct w:val="0"/>
              <w:spacing w:line="400" w:lineRule="exact"/>
              <w:rPr>
                <w:rFonts w:ascii="楷体_GB2312" w:eastAsia="楷体_GB2312" w:hAnsi="Times New Roman" w:cs="Times New Roman"/>
                <w:sz w:val="24"/>
                <w:szCs w:val="24"/>
              </w:rPr>
            </w:pPr>
            <w:r w:rsidRPr="006B7971">
              <w:rPr>
                <w:rFonts w:ascii="楷体_GB2312" w:eastAsia="楷体_GB2312" w:hAnsiTheme="minorEastAsia" w:cs="Times New Roman" w:hint="eastAsia"/>
                <w:sz w:val="24"/>
                <w:szCs w:val="24"/>
              </w:rPr>
              <w:t>政府签发的碳配额、碳信用、其他温室气体减排量及相关产品</w:t>
            </w:r>
          </w:p>
        </w:tc>
      </w:tr>
      <w:tr w:rsidR="00085157" w:rsidTr="006B7971">
        <w:tc>
          <w:tcPr>
            <w:tcW w:w="959" w:type="dxa"/>
            <w:vAlign w:val="center"/>
          </w:tcPr>
          <w:p w:rsidR="00085157" w:rsidRPr="006B7971" w:rsidRDefault="00296100">
            <w:pPr>
              <w:overflowPunct w:val="0"/>
              <w:spacing w:line="400" w:lineRule="exact"/>
              <w:jc w:val="center"/>
              <w:rPr>
                <w:rFonts w:ascii="楷体_GB2312" w:eastAsia="楷体_GB2312" w:hAnsi="Times New Roman" w:cs="Times New Roman"/>
                <w:sz w:val="24"/>
                <w:szCs w:val="24"/>
              </w:rPr>
            </w:pPr>
            <w:r w:rsidRPr="006B7971">
              <w:rPr>
                <w:rFonts w:ascii="楷体_GB2312" w:eastAsia="楷体_GB2312" w:hAnsiTheme="minorEastAsia" w:cs="Times New Roman" w:hint="eastAsia"/>
                <w:sz w:val="24"/>
                <w:szCs w:val="24"/>
              </w:rPr>
              <w:t>十</w:t>
            </w:r>
          </w:p>
        </w:tc>
        <w:tc>
          <w:tcPr>
            <w:tcW w:w="2410" w:type="dxa"/>
            <w:vAlign w:val="center"/>
          </w:tcPr>
          <w:p w:rsidR="00085157" w:rsidRPr="006B7971" w:rsidRDefault="00296100">
            <w:pPr>
              <w:overflowPunct w:val="0"/>
              <w:spacing w:line="400" w:lineRule="exact"/>
              <w:jc w:val="center"/>
              <w:rPr>
                <w:rFonts w:ascii="楷体_GB2312" w:eastAsia="楷体_GB2312" w:hAnsi="Times New Roman" w:cs="Times New Roman"/>
                <w:color w:val="000000"/>
                <w:kern w:val="0"/>
                <w:sz w:val="24"/>
                <w:szCs w:val="24"/>
              </w:rPr>
            </w:pPr>
            <w:r w:rsidRPr="006B7971">
              <w:rPr>
                <w:rFonts w:ascii="楷体_GB2312" w:eastAsia="楷体_GB2312" w:cs="Times New Roman" w:hint="eastAsia"/>
                <w:color w:val="000000"/>
                <w:kern w:val="0"/>
                <w:sz w:val="24"/>
                <w:szCs w:val="24"/>
              </w:rPr>
              <w:t>用能权交易</w:t>
            </w:r>
          </w:p>
        </w:tc>
        <w:tc>
          <w:tcPr>
            <w:tcW w:w="10773" w:type="dxa"/>
            <w:vAlign w:val="center"/>
          </w:tcPr>
          <w:p w:rsidR="00085157" w:rsidRPr="006B7971" w:rsidRDefault="00296100">
            <w:pPr>
              <w:overflowPunct w:val="0"/>
              <w:spacing w:line="400" w:lineRule="exact"/>
              <w:rPr>
                <w:rFonts w:ascii="楷体_GB2312" w:eastAsia="楷体_GB2312" w:hAnsi="Times New Roman" w:cs="Times New Roman"/>
                <w:sz w:val="24"/>
                <w:szCs w:val="24"/>
              </w:rPr>
            </w:pPr>
            <w:r w:rsidRPr="006B7971">
              <w:rPr>
                <w:rFonts w:ascii="楷体_GB2312" w:eastAsia="楷体_GB2312" w:hAnsiTheme="minorEastAsia" w:cs="Times New Roman" w:hint="eastAsia"/>
                <w:sz w:val="24"/>
                <w:szCs w:val="24"/>
              </w:rPr>
              <w:t>用能单位或其他能源消耗总量和强度</w:t>
            </w:r>
            <w:r w:rsidRPr="006B7971">
              <w:rPr>
                <w:rFonts w:ascii="楷体_GB2312" w:eastAsia="楷体_GB2312" w:hAnsi="Times New Roman" w:cs="Times New Roman" w:hint="eastAsia"/>
                <w:sz w:val="24"/>
                <w:szCs w:val="24"/>
              </w:rPr>
              <w:t>“</w:t>
            </w:r>
            <w:r w:rsidRPr="006B7971">
              <w:rPr>
                <w:rFonts w:ascii="楷体_GB2312" w:eastAsia="楷体_GB2312" w:hAnsiTheme="minorEastAsia" w:cs="Times New Roman" w:hint="eastAsia"/>
                <w:sz w:val="24"/>
                <w:szCs w:val="24"/>
              </w:rPr>
              <w:t>双控</w:t>
            </w:r>
            <w:r w:rsidRPr="006B7971">
              <w:rPr>
                <w:rFonts w:ascii="楷体_GB2312" w:eastAsia="楷体_GB2312" w:hAnsi="Times New Roman" w:cs="Times New Roman" w:hint="eastAsia"/>
                <w:sz w:val="24"/>
                <w:szCs w:val="24"/>
              </w:rPr>
              <w:t>”</w:t>
            </w:r>
            <w:r w:rsidRPr="006B7971">
              <w:rPr>
                <w:rFonts w:ascii="楷体_GB2312" w:eastAsia="楷体_GB2312" w:hAnsiTheme="minorEastAsia" w:cs="Times New Roman" w:hint="eastAsia"/>
                <w:sz w:val="24"/>
                <w:szCs w:val="24"/>
              </w:rPr>
              <w:t>目标责任主体之间年度综合能源消费量指标，以吨标准煤为单位</w:t>
            </w:r>
          </w:p>
        </w:tc>
      </w:tr>
      <w:tr w:rsidR="00085157" w:rsidTr="006B7971">
        <w:tc>
          <w:tcPr>
            <w:tcW w:w="959" w:type="dxa"/>
            <w:vAlign w:val="center"/>
          </w:tcPr>
          <w:p w:rsidR="00085157" w:rsidRPr="006B7971" w:rsidRDefault="00296100">
            <w:pPr>
              <w:overflowPunct w:val="0"/>
              <w:spacing w:line="400" w:lineRule="exact"/>
              <w:jc w:val="center"/>
              <w:rPr>
                <w:rFonts w:ascii="楷体_GB2312" w:eastAsia="楷体_GB2312" w:hAnsi="Times New Roman" w:cs="Times New Roman"/>
                <w:sz w:val="24"/>
                <w:szCs w:val="24"/>
              </w:rPr>
            </w:pPr>
            <w:r w:rsidRPr="006B7971">
              <w:rPr>
                <w:rFonts w:ascii="楷体_GB2312" w:eastAsia="楷体_GB2312" w:hAnsiTheme="minorEastAsia" w:cs="Times New Roman" w:hint="eastAsia"/>
                <w:sz w:val="24"/>
                <w:szCs w:val="24"/>
              </w:rPr>
              <w:t>十一</w:t>
            </w:r>
          </w:p>
        </w:tc>
        <w:tc>
          <w:tcPr>
            <w:tcW w:w="2410" w:type="dxa"/>
            <w:vAlign w:val="center"/>
          </w:tcPr>
          <w:p w:rsidR="00085157" w:rsidRPr="006B7971" w:rsidRDefault="00296100">
            <w:pPr>
              <w:overflowPunct w:val="0"/>
              <w:spacing w:line="400" w:lineRule="exact"/>
              <w:jc w:val="center"/>
              <w:rPr>
                <w:rFonts w:ascii="楷体_GB2312" w:eastAsia="楷体_GB2312" w:hAnsi="Times New Roman" w:cs="Times New Roman"/>
                <w:color w:val="000000"/>
                <w:kern w:val="0"/>
                <w:sz w:val="24"/>
                <w:szCs w:val="24"/>
              </w:rPr>
            </w:pPr>
            <w:r w:rsidRPr="006B7971">
              <w:rPr>
                <w:rFonts w:ascii="楷体_GB2312" w:eastAsia="楷体_GB2312" w:cs="Times New Roman" w:hint="eastAsia"/>
                <w:color w:val="000000"/>
                <w:kern w:val="0"/>
                <w:sz w:val="24"/>
                <w:szCs w:val="24"/>
              </w:rPr>
              <w:t>司法机关和行政执法部门开展的涉诉、</w:t>
            </w:r>
          </w:p>
          <w:p w:rsidR="00085157" w:rsidRPr="006B7971" w:rsidRDefault="00296100">
            <w:pPr>
              <w:overflowPunct w:val="0"/>
              <w:spacing w:line="400" w:lineRule="exact"/>
              <w:jc w:val="center"/>
              <w:rPr>
                <w:rFonts w:ascii="楷体_GB2312" w:eastAsia="楷体_GB2312" w:hAnsi="Times New Roman" w:cs="Times New Roman"/>
                <w:color w:val="000000"/>
                <w:kern w:val="0"/>
                <w:sz w:val="24"/>
                <w:szCs w:val="24"/>
              </w:rPr>
            </w:pPr>
            <w:r w:rsidRPr="006B7971">
              <w:rPr>
                <w:rFonts w:ascii="楷体_GB2312" w:eastAsia="楷体_GB2312" w:cs="Times New Roman" w:hint="eastAsia"/>
                <w:color w:val="000000"/>
                <w:kern w:val="0"/>
                <w:sz w:val="24"/>
                <w:szCs w:val="24"/>
              </w:rPr>
              <w:t>抵债或罚没资产处置</w:t>
            </w:r>
          </w:p>
        </w:tc>
        <w:tc>
          <w:tcPr>
            <w:tcW w:w="10773" w:type="dxa"/>
            <w:vAlign w:val="center"/>
          </w:tcPr>
          <w:p w:rsidR="00085157" w:rsidRPr="006B7971" w:rsidRDefault="00296100">
            <w:pPr>
              <w:overflowPunct w:val="0"/>
              <w:spacing w:line="400" w:lineRule="exact"/>
              <w:rPr>
                <w:rFonts w:ascii="楷体_GB2312" w:eastAsia="楷体_GB2312" w:hAnsi="Times New Roman" w:cs="Times New Roman"/>
                <w:color w:val="000000"/>
                <w:kern w:val="0"/>
                <w:sz w:val="24"/>
                <w:szCs w:val="24"/>
              </w:rPr>
            </w:pPr>
            <w:r w:rsidRPr="006B7971">
              <w:rPr>
                <w:rFonts w:ascii="楷体_GB2312" w:eastAsia="楷体_GB2312" w:cs="Times New Roman" w:hint="eastAsia"/>
                <w:color w:val="000000"/>
                <w:kern w:val="0"/>
                <w:sz w:val="24"/>
                <w:szCs w:val="24"/>
              </w:rPr>
              <w:t>人民法院和公安机关、海关等行政执法部门依法处置的资产（含车辆、船舶、飞行器、物资、机械设备、生产资源、生活用品等动产，房屋、在建工程等不动产，股权、各类权益、商标、专利等无形资产，以及法律法规允许变价处置、转让的其他财产）</w:t>
            </w:r>
          </w:p>
        </w:tc>
      </w:tr>
    </w:tbl>
    <w:p w:rsidR="00085157" w:rsidRDefault="00085157">
      <w:pPr>
        <w:spacing w:line="560" w:lineRule="exact"/>
        <w:rPr>
          <w:rFonts w:ascii="Times New Roman" w:hAnsi="Times New Roman" w:cs="Times New Roman"/>
        </w:rPr>
      </w:pPr>
      <w:bookmarkStart w:id="0" w:name="_GoBack"/>
      <w:bookmarkEnd w:id="0"/>
    </w:p>
    <w:sectPr w:rsidR="00085157" w:rsidSect="00085157">
      <w:footerReference w:type="default" r:id="rId8"/>
      <w:pgSz w:w="16838" w:h="11906" w:orient="landscape"/>
      <w:pgMar w:top="1797" w:right="1440" w:bottom="1797" w:left="1440" w:header="851" w:footer="992" w:gutter="0"/>
      <w:pgNumType w:start="1"/>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3D8E" w:rsidRDefault="00BB3D8E" w:rsidP="00085157">
      <w:r>
        <w:separator/>
      </w:r>
    </w:p>
  </w:endnote>
  <w:endnote w:type="continuationSeparator" w:id="0">
    <w:p w:rsidR="00BB3D8E" w:rsidRDefault="00BB3D8E" w:rsidP="00085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157" w:rsidRDefault="00BB3D8E">
    <w:pPr>
      <w:pStyle w:val="a5"/>
      <w:jc w:val="center"/>
    </w:pPr>
    <w:r>
      <w:pict>
        <v:shapetype id="_x0000_t202" coordsize="21600,21600" o:spt="202" path="m,l,21600r21600,l21600,xe">
          <v:stroke joinstyle="miter"/>
          <v:path gradientshapeok="t" o:connecttype="rect"/>
        </v:shapetype>
        <v:shape id="_x0000_s2050" type="#_x0000_t202" style="position:absolute;left:0;text-align:left;margin-left:0;margin-top:0;width:2in;height:2in;z-index:251659264;mso-wrap-style:none;mso-position-horizontal:center;mso-position-horizontal-relative:margin" filled="f" stroked="f">
          <v:textbox style="mso-fit-shape-to-text:t" inset="0,0,0,0">
            <w:txbxContent>
              <w:p w:rsidR="00085157" w:rsidRDefault="00085157">
                <w:pPr>
                  <w:pStyle w:val="a5"/>
                </w:pPr>
                <w:r>
                  <w:rPr>
                    <w:rFonts w:hint="eastAsia"/>
                  </w:rPr>
                  <w:fldChar w:fldCharType="begin"/>
                </w:r>
                <w:r w:rsidR="00296100">
                  <w:rPr>
                    <w:rFonts w:hint="eastAsia"/>
                  </w:rPr>
                  <w:instrText xml:space="preserve"> PAGE  \* MERGEFORMAT </w:instrText>
                </w:r>
                <w:r>
                  <w:rPr>
                    <w:rFonts w:hint="eastAsia"/>
                  </w:rPr>
                  <w:fldChar w:fldCharType="separate"/>
                </w:r>
                <w:r w:rsidR="001007D8">
                  <w:rPr>
                    <w:noProof/>
                  </w:rPr>
                  <w:t>1</w:t>
                </w:r>
                <w:r>
                  <w:rPr>
                    <w:rFonts w:hint="eastAsia"/>
                  </w:rPr>
                  <w:fldChar w:fldCharType="end"/>
                </w:r>
              </w:p>
            </w:txbxContent>
          </v:textbox>
          <w10:wrap anchorx="margin"/>
        </v:shape>
      </w:pict>
    </w:r>
    <w:sdt>
      <w:sdtPr>
        <w:id w:val="22160610"/>
      </w:sdtPr>
      <w:sdtEndPr/>
      <w:sdtContent/>
    </w:sdt>
  </w:p>
  <w:p w:rsidR="00085157" w:rsidRDefault="0008515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157" w:rsidRDefault="00BB3D8E">
    <w:pPr>
      <w:pStyle w:val="a5"/>
      <w:jc w:val="center"/>
    </w:pPr>
    <w:r>
      <w:pict>
        <v:shapetype id="_x0000_t202" coordsize="21600,21600" o:spt="202" path="m,l,21600r21600,l21600,xe">
          <v:stroke joinstyle="miter"/>
          <v:path gradientshapeok="t" o:connecttype="rect"/>
        </v:shapetype>
        <v:shape id="_x0000_s2052" type="#_x0000_t202" style="position:absolute;left:0;text-align:left;margin-left:0;margin-top:0;width:2in;height:2in;z-index:251661312;mso-wrap-style:none;mso-position-horizontal:center;mso-position-horizontal-relative:margin" filled="f" stroked="f">
          <v:textbox style="mso-fit-shape-to-text:t" inset="0,0,0,0">
            <w:txbxContent>
              <w:p w:rsidR="00085157" w:rsidRDefault="00085157">
                <w:pPr>
                  <w:pStyle w:val="a5"/>
                </w:pPr>
                <w:r>
                  <w:rPr>
                    <w:rFonts w:hint="eastAsia"/>
                  </w:rPr>
                  <w:fldChar w:fldCharType="begin"/>
                </w:r>
                <w:r w:rsidR="00296100">
                  <w:rPr>
                    <w:rFonts w:hint="eastAsia"/>
                  </w:rPr>
                  <w:instrText xml:space="preserve"> PAGE  \* MERGEFORMAT </w:instrText>
                </w:r>
                <w:r>
                  <w:rPr>
                    <w:rFonts w:hint="eastAsia"/>
                  </w:rPr>
                  <w:fldChar w:fldCharType="separate"/>
                </w:r>
                <w:r w:rsidR="001007D8">
                  <w:rPr>
                    <w:noProof/>
                  </w:rPr>
                  <w:t>2</w:t>
                </w:r>
                <w:r>
                  <w:rPr>
                    <w:rFonts w:hint="eastAsia"/>
                  </w:rPr>
                  <w:fldChar w:fldCharType="end"/>
                </w:r>
              </w:p>
            </w:txbxContent>
          </v:textbox>
          <w10:wrap anchorx="margin"/>
        </v:shape>
      </w:pict>
    </w:r>
    <w:r>
      <w:pict>
        <v:shape id="_x0000_s2049" type="#_x0000_t202" style="position:absolute;left:0;text-align:left;margin-left:0;margin-top:0;width:2in;height:2in;z-index:251658240;mso-wrap-style:none;mso-position-horizontal:center;mso-position-horizontal-relative:margin" filled="f" stroked="f">
          <v:textbox style="mso-fit-shape-to-text:t" inset="0,0,0,0">
            <w:txbxContent>
              <w:p w:rsidR="00085157" w:rsidRDefault="00085157">
                <w:pPr>
                  <w:pStyle w:val="a5"/>
                </w:pPr>
              </w:p>
            </w:txbxContent>
          </v:textbox>
          <w10:wrap anchorx="margin"/>
        </v:shape>
      </w:pict>
    </w:r>
  </w:p>
  <w:p w:rsidR="00085157" w:rsidRDefault="0008515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3D8E" w:rsidRDefault="00BB3D8E" w:rsidP="00085157">
      <w:r>
        <w:separator/>
      </w:r>
    </w:p>
  </w:footnote>
  <w:footnote w:type="continuationSeparator" w:id="0">
    <w:p w:rsidR="00BB3D8E" w:rsidRDefault="00BB3D8E" w:rsidP="000851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B4E65"/>
    <w:rsid w:val="00013670"/>
    <w:rsid w:val="00021A75"/>
    <w:rsid w:val="000453FA"/>
    <w:rsid w:val="0005625D"/>
    <w:rsid w:val="0006221F"/>
    <w:rsid w:val="00062A4B"/>
    <w:rsid w:val="00064DE2"/>
    <w:rsid w:val="00074811"/>
    <w:rsid w:val="000762AF"/>
    <w:rsid w:val="000773B3"/>
    <w:rsid w:val="00085157"/>
    <w:rsid w:val="00085E4B"/>
    <w:rsid w:val="0009312E"/>
    <w:rsid w:val="00096D2A"/>
    <w:rsid w:val="000A6207"/>
    <w:rsid w:val="000A73F4"/>
    <w:rsid w:val="000B27FC"/>
    <w:rsid w:val="000B5C74"/>
    <w:rsid w:val="000C3C0E"/>
    <w:rsid w:val="000E671E"/>
    <w:rsid w:val="000F0341"/>
    <w:rsid w:val="001007D8"/>
    <w:rsid w:val="00105C6D"/>
    <w:rsid w:val="00115CE2"/>
    <w:rsid w:val="00116B5D"/>
    <w:rsid w:val="0012505B"/>
    <w:rsid w:val="00131DDA"/>
    <w:rsid w:val="00144B84"/>
    <w:rsid w:val="00160028"/>
    <w:rsid w:val="001620BA"/>
    <w:rsid w:val="00172B3A"/>
    <w:rsid w:val="001974F5"/>
    <w:rsid w:val="001B2669"/>
    <w:rsid w:val="001C1985"/>
    <w:rsid w:val="001D257A"/>
    <w:rsid w:val="001E1E5B"/>
    <w:rsid w:val="001E5B33"/>
    <w:rsid w:val="001F46B9"/>
    <w:rsid w:val="0020057D"/>
    <w:rsid w:val="002065EE"/>
    <w:rsid w:val="00210387"/>
    <w:rsid w:val="002104FA"/>
    <w:rsid w:val="00214A6F"/>
    <w:rsid w:val="00220EB1"/>
    <w:rsid w:val="00221CE9"/>
    <w:rsid w:val="0023175C"/>
    <w:rsid w:val="00241654"/>
    <w:rsid w:val="00243AF7"/>
    <w:rsid w:val="0024537B"/>
    <w:rsid w:val="002476DA"/>
    <w:rsid w:val="00260269"/>
    <w:rsid w:val="00260B7A"/>
    <w:rsid w:val="00286624"/>
    <w:rsid w:val="00294895"/>
    <w:rsid w:val="00296100"/>
    <w:rsid w:val="002B33E4"/>
    <w:rsid w:val="002B6B10"/>
    <w:rsid w:val="002C43D7"/>
    <w:rsid w:val="002D187C"/>
    <w:rsid w:val="002D7F2E"/>
    <w:rsid w:val="002E2C8D"/>
    <w:rsid w:val="002E7B5F"/>
    <w:rsid w:val="002F6B55"/>
    <w:rsid w:val="003334BA"/>
    <w:rsid w:val="003479C8"/>
    <w:rsid w:val="00356070"/>
    <w:rsid w:val="003D3129"/>
    <w:rsid w:val="003E1310"/>
    <w:rsid w:val="00412A71"/>
    <w:rsid w:val="0041654C"/>
    <w:rsid w:val="004256CD"/>
    <w:rsid w:val="004264D3"/>
    <w:rsid w:val="00481382"/>
    <w:rsid w:val="00486BC6"/>
    <w:rsid w:val="00487963"/>
    <w:rsid w:val="00496399"/>
    <w:rsid w:val="004A75AF"/>
    <w:rsid w:val="004B045F"/>
    <w:rsid w:val="004B21EA"/>
    <w:rsid w:val="005208B7"/>
    <w:rsid w:val="00535775"/>
    <w:rsid w:val="00535A0B"/>
    <w:rsid w:val="00551113"/>
    <w:rsid w:val="005769B3"/>
    <w:rsid w:val="00584CC6"/>
    <w:rsid w:val="00586B30"/>
    <w:rsid w:val="005A22BE"/>
    <w:rsid w:val="005B2286"/>
    <w:rsid w:val="005C3CAA"/>
    <w:rsid w:val="005D0086"/>
    <w:rsid w:val="005F6B34"/>
    <w:rsid w:val="00600172"/>
    <w:rsid w:val="0061493C"/>
    <w:rsid w:val="00620B6F"/>
    <w:rsid w:val="00621444"/>
    <w:rsid w:val="006379F8"/>
    <w:rsid w:val="00641C52"/>
    <w:rsid w:val="006567FB"/>
    <w:rsid w:val="0066188F"/>
    <w:rsid w:val="00670475"/>
    <w:rsid w:val="00687AF1"/>
    <w:rsid w:val="006946E4"/>
    <w:rsid w:val="006B7971"/>
    <w:rsid w:val="006C57F9"/>
    <w:rsid w:val="006E373D"/>
    <w:rsid w:val="00704E7D"/>
    <w:rsid w:val="00730569"/>
    <w:rsid w:val="007330D4"/>
    <w:rsid w:val="007368F6"/>
    <w:rsid w:val="00781E8F"/>
    <w:rsid w:val="007C6B0F"/>
    <w:rsid w:val="007E6AE6"/>
    <w:rsid w:val="007E6F28"/>
    <w:rsid w:val="00801C3B"/>
    <w:rsid w:val="00810BA1"/>
    <w:rsid w:val="0088059E"/>
    <w:rsid w:val="00883772"/>
    <w:rsid w:val="008A2205"/>
    <w:rsid w:val="008A7056"/>
    <w:rsid w:val="008B1136"/>
    <w:rsid w:val="008B26B5"/>
    <w:rsid w:val="008B31F1"/>
    <w:rsid w:val="008C1872"/>
    <w:rsid w:val="008D22E5"/>
    <w:rsid w:val="008D6400"/>
    <w:rsid w:val="008E263D"/>
    <w:rsid w:val="008F1EFA"/>
    <w:rsid w:val="00936B0D"/>
    <w:rsid w:val="00942B3F"/>
    <w:rsid w:val="00971482"/>
    <w:rsid w:val="009A1A16"/>
    <w:rsid w:val="009F4D06"/>
    <w:rsid w:val="00A044F6"/>
    <w:rsid w:val="00A57768"/>
    <w:rsid w:val="00A61418"/>
    <w:rsid w:val="00A64FEE"/>
    <w:rsid w:val="00A665D2"/>
    <w:rsid w:val="00A874F2"/>
    <w:rsid w:val="00A94AD0"/>
    <w:rsid w:val="00A979B5"/>
    <w:rsid w:val="00AC084B"/>
    <w:rsid w:val="00AC1CEB"/>
    <w:rsid w:val="00AC7648"/>
    <w:rsid w:val="00AE236C"/>
    <w:rsid w:val="00B009F7"/>
    <w:rsid w:val="00B04D39"/>
    <w:rsid w:val="00B062C7"/>
    <w:rsid w:val="00B222C3"/>
    <w:rsid w:val="00B22A31"/>
    <w:rsid w:val="00B24076"/>
    <w:rsid w:val="00B255DD"/>
    <w:rsid w:val="00B424EA"/>
    <w:rsid w:val="00B55ABE"/>
    <w:rsid w:val="00B746D7"/>
    <w:rsid w:val="00B85505"/>
    <w:rsid w:val="00BB3D8E"/>
    <w:rsid w:val="00BF3D4F"/>
    <w:rsid w:val="00BF5DF1"/>
    <w:rsid w:val="00C53369"/>
    <w:rsid w:val="00C90099"/>
    <w:rsid w:val="00CA031E"/>
    <w:rsid w:val="00CB513E"/>
    <w:rsid w:val="00CC14D8"/>
    <w:rsid w:val="00D04B86"/>
    <w:rsid w:val="00D12D06"/>
    <w:rsid w:val="00D13E64"/>
    <w:rsid w:val="00D158BA"/>
    <w:rsid w:val="00D35580"/>
    <w:rsid w:val="00D61820"/>
    <w:rsid w:val="00D64603"/>
    <w:rsid w:val="00D9406E"/>
    <w:rsid w:val="00DA5005"/>
    <w:rsid w:val="00DB03C0"/>
    <w:rsid w:val="00DB2DB7"/>
    <w:rsid w:val="00DB3A54"/>
    <w:rsid w:val="00DB6DBB"/>
    <w:rsid w:val="00DC71A8"/>
    <w:rsid w:val="00DD19DF"/>
    <w:rsid w:val="00DD1D7A"/>
    <w:rsid w:val="00DD75BE"/>
    <w:rsid w:val="00E04E13"/>
    <w:rsid w:val="00E1610D"/>
    <w:rsid w:val="00E25B7F"/>
    <w:rsid w:val="00E44615"/>
    <w:rsid w:val="00E46A86"/>
    <w:rsid w:val="00E84ACA"/>
    <w:rsid w:val="00E932F5"/>
    <w:rsid w:val="00E93937"/>
    <w:rsid w:val="00EB4E65"/>
    <w:rsid w:val="00F12D0B"/>
    <w:rsid w:val="00F203EC"/>
    <w:rsid w:val="00F22F15"/>
    <w:rsid w:val="00F26421"/>
    <w:rsid w:val="00F40FFF"/>
    <w:rsid w:val="00F84F90"/>
    <w:rsid w:val="00F8754A"/>
    <w:rsid w:val="00FA65B9"/>
    <w:rsid w:val="00FB2214"/>
    <w:rsid w:val="00FB3304"/>
    <w:rsid w:val="00FB4CAC"/>
    <w:rsid w:val="00FB6D6B"/>
    <w:rsid w:val="00FE58F2"/>
    <w:rsid w:val="1E3A00C8"/>
    <w:rsid w:val="31C86FD9"/>
    <w:rsid w:val="58D91AE5"/>
    <w:rsid w:val="59860D07"/>
    <w:rsid w:val="6845208A"/>
    <w:rsid w:val="6BDA704E"/>
    <w:rsid w:val="7BAA5A3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F676DDE8-8A04-49DD-ABA2-BE6B6330D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515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sid w:val="00085157"/>
    <w:rPr>
      <w:sz w:val="18"/>
      <w:szCs w:val="18"/>
    </w:rPr>
  </w:style>
  <w:style w:type="paragraph" w:styleId="a5">
    <w:name w:val="footer"/>
    <w:basedOn w:val="a"/>
    <w:link w:val="a6"/>
    <w:uiPriority w:val="99"/>
    <w:unhideWhenUsed/>
    <w:qFormat/>
    <w:rsid w:val="00085157"/>
    <w:pPr>
      <w:tabs>
        <w:tab w:val="center" w:pos="4153"/>
        <w:tab w:val="right" w:pos="8306"/>
      </w:tabs>
      <w:snapToGrid w:val="0"/>
      <w:jc w:val="left"/>
    </w:pPr>
    <w:rPr>
      <w:sz w:val="18"/>
      <w:szCs w:val="18"/>
    </w:rPr>
  </w:style>
  <w:style w:type="paragraph" w:styleId="a7">
    <w:name w:val="header"/>
    <w:basedOn w:val="a"/>
    <w:link w:val="a8"/>
    <w:uiPriority w:val="99"/>
    <w:semiHidden/>
    <w:unhideWhenUsed/>
    <w:qFormat/>
    <w:rsid w:val="00085157"/>
    <w:pPr>
      <w:pBdr>
        <w:bottom w:val="single" w:sz="6" w:space="1" w:color="auto"/>
      </w:pBdr>
      <w:tabs>
        <w:tab w:val="center" w:pos="4153"/>
        <w:tab w:val="right" w:pos="8306"/>
      </w:tabs>
      <w:snapToGrid w:val="0"/>
      <w:jc w:val="center"/>
    </w:pPr>
    <w:rPr>
      <w:sz w:val="18"/>
      <w:szCs w:val="18"/>
    </w:rPr>
  </w:style>
  <w:style w:type="table" w:styleId="a9">
    <w:name w:val="Table Grid"/>
    <w:basedOn w:val="a1"/>
    <w:qFormat/>
    <w:rsid w:val="0008515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8">
    <w:name w:val="页眉 字符"/>
    <w:basedOn w:val="a0"/>
    <w:link w:val="a7"/>
    <w:uiPriority w:val="99"/>
    <w:semiHidden/>
    <w:rsid w:val="00085157"/>
    <w:rPr>
      <w:sz w:val="18"/>
      <w:szCs w:val="18"/>
    </w:rPr>
  </w:style>
  <w:style w:type="character" w:customStyle="1" w:styleId="a6">
    <w:name w:val="页脚 字符"/>
    <w:basedOn w:val="a0"/>
    <w:link w:val="a5"/>
    <w:uiPriority w:val="99"/>
    <w:qFormat/>
    <w:rsid w:val="00085157"/>
    <w:rPr>
      <w:sz w:val="18"/>
      <w:szCs w:val="18"/>
    </w:rPr>
  </w:style>
  <w:style w:type="paragraph" w:styleId="aa">
    <w:name w:val="List Paragraph"/>
    <w:basedOn w:val="a"/>
    <w:uiPriority w:val="34"/>
    <w:qFormat/>
    <w:rsid w:val="00085157"/>
    <w:pPr>
      <w:ind w:firstLineChars="200" w:firstLine="420"/>
    </w:pPr>
  </w:style>
  <w:style w:type="character" w:customStyle="1" w:styleId="a4">
    <w:name w:val="批注框文本 字符"/>
    <w:basedOn w:val="a0"/>
    <w:link w:val="a3"/>
    <w:uiPriority w:val="99"/>
    <w:semiHidden/>
    <w:qFormat/>
    <w:rsid w:val="00085157"/>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3074"/>
    <customShpInfo spid="_x0000_s3075"/>
    <customShpInfo spid="_x0000_s3076"/>
    <customShpInfo spid="_x0000_s30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337</Words>
  <Characters>1925</Characters>
  <Application>Microsoft Office Word</Application>
  <DocSecurity>0</DocSecurity>
  <Lines>16</Lines>
  <Paragraphs>4</Paragraphs>
  <ScaleCrop>false</ScaleCrop>
  <Company>Microsoft</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admin1</dc:creator>
  <cp:lastModifiedBy>X053TaoYu</cp:lastModifiedBy>
  <cp:revision>34</cp:revision>
  <dcterms:created xsi:type="dcterms:W3CDTF">2020-04-02T03:44:00Z</dcterms:created>
  <dcterms:modified xsi:type="dcterms:W3CDTF">2020-08-05T09:41:00Z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