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eastAsia="黑体"/>
          <w:snapToGrid w:val="0"/>
          <w:kern w:val="0"/>
          <w:sz w:val="48"/>
          <w:szCs w:val="48"/>
        </w:rPr>
      </w:pPr>
    </w:p>
    <w:p>
      <w:pPr>
        <w:adjustRightInd w:val="0"/>
        <w:snapToGrid w:val="0"/>
        <w:jc w:val="center"/>
        <w:rPr>
          <w:rFonts w:ascii="黑体" w:eastAsia="黑体"/>
          <w:snapToGrid w:val="0"/>
          <w:kern w:val="0"/>
          <w:sz w:val="48"/>
          <w:szCs w:val="48"/>
        </w:rPr>
      </w:pPr>
    </w:p>
    <w:p>
      <w:pPr>
        <w:adjustRightInd w:val="0"/>
        <w:snapToGrid w:val="0"/>
        <w:spacing w:line="360" w:lineRule="auto"/>
        <w:jc w:val="center"/>
        <w:rPr>
          <w:rFonts w:ascii="黑体" w:eastAsia="黑体"/>
          <w:snapToGrid w:val="0"/>
          <w:kern w:val="0"/>
          <w:sz w:val="48"/>
          <w:szCs w:val="48"/>
        </w:rPr>
      </w:pPr>
      <w:r>
        <w:rPr>
          <w:rFonts w:hint="eastAsia" w:ascii="黑体" w:eastAsia="黑体"/>
          <w:snapToGrid w:val="0"/>
          <w:kern w:val="0"/>
          <w:sz w:val="48"/>
          <w:szCs w:val="48"/>
        </w:rPr>
        <w:t>政府投资房屋建筑工程项目</w:t>
      </w:r>
    </w:p>
    <w:p>
      <w:pPr>
        <w:adjustRightInd w:val="0"/>
        <w:snapToGrid w:val="0"/>
        <w:spacing w:line="360" w:lineRule="auto"/>
        <w:jc w:val="center"/>
        <w:rPr>
          <w:rFonts w:ascii="黑体" w:eastAsia="黑体"/>
          <w:snapToGrid w:val="0"/>
          <w:kern w:val="0"/>
          <w:sz w:val="48"/>
          <w:szCs w:val="48"/>
        </w:rPr>
      </w:pPr>
      <w:r>
        <w:rPr>
          <w:rFonts w:hint="eastAsia" w:ascii="黑体" w:eastAsia="黑体"/>
          <w:snapToGrid w:val="0"/>
          <w:kern w:val="0"/>
          <w:sz w:val="48"/>
          <w:szCs w:val="48"/>
        </w:rPr>
        <w:t>可行性研究报告（初步设计深度）</w:t>
      </w:r>
    </w:p>
    <w:p>
      <w:pPr>
        <w:adjustRightInd w:val="0"/>
        <w:snapToGrid w:val="0"/>
        <w:spacing w:line="360" w:lineRule="auto"/>
        <w:jc w:val="center"/>
        <w:rPr>
          <w:rFonts w:ascii="黑体" w:eastAsia="黑体"/>
          <w:snapToGrid w:val="0"/>
          <w:kern w:val="0"/>
          <w:sz w:val="72"/>
          <w:szCs w:val="72"/>
        </w:rPr>
      </w:pPr>
      <w:r>
        <w:rPr>
          <w:rFonts w:hint="eastAsia" w:ascii="黑体" w:eastAsia="黑体"/>
          <w:snapToGrid w:val="0"/>
          <w:kern w:val="0"/>
          <w:sz w:val="72"/>
          <w:szCs w:val="72"/>
        </w:rPr>
        <w:t>编 制 指 南</w:t>
      </w: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b/>
          <w:snapToGrid w:val="0"/>
          <w:kern w:val="0"/>
          <w:sz w:val="52"/>
          <w:szCs w:val="52"/>
        </w:rPr>
      </w:pPr>
    </w:p>
    <w:p>
      <w:pPr>
        <w:jc w:val="center"/>
        <w:rPr>
          <w:rFonts w:hint="eastAsia" w:ascii="黑体" w:eastAsia="黑体"/>
          <w:sz w:val="44"/>
          <w:szCs w:val="44"/>
        </w:rPr>
      </w:pPr>
      <w:bookmarkStart w:id="20" w:name="_GoBack"/>
      <w:bookmarkEnd w:id="20"/>
    </w:p>
    <w:p>
      <w:pPr>
        <w:adjustRightInd w:val="0"/>
        <w:snapToGrid w:val="0"/>
        <w:spacing w:line="560" w:lineRule="exact"/>
        <w:jc w:val="center"/>
        <w:rPr>
          <w:rFonts w:ascii="黑体" w:eastAsia="黑体"/>
          <w:b/>
          <w:snapToGrid w:val="0"/>
          <w:kern w:val="0"/>
          <w:sz w:val="52"/>
          <w:szCs w:val="52"/>
        </w:rPr>
      </w:pPr>
    </w:p>
    <w:p>
      <w:pPr>
        <w:adjustRightInd w:val="0"/>
        <w:snapToGrid w:val="0"/>
        <w:spacing w:line="560" w:lineRule="exact"/>
        <w:jc w:val="center"/>
        <w:rPr>
          <w:rFonts w:ascii="黑体" w:eastAsia="黑体"/>
          <w:snapToGrid w:val="0"/>
          <w:kern w:val="0"/>
          <w:sz w:val="44"/>
          <w:szCs w:val="44"/>
        </w:rPr>
        <w:sectPr>
          <w:headerReference r:id="rId4" w:type="first"/>
          <w:headerReference r:id="rId3" w:type="default"/>
          <w:footerReference r:id="rId5" w:type="default"/>
          <w:pgSz w:w="11906" w:h="16838"/>
          <w:pgMar w:top="2041" w:right="1474" w:bottom="1871" w:left="2098" w:header="851" w:footer="992" w:gutter="0"/>
          <w:cols w:space="425" w:num="1"/>
          <w:docGrid w:linePitch="312" w:charSpace="0"/>
        </w:sectPr>
      </w:pP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28"/>
          <w:szCs w:val="28"/>
        </w:rPr>
      </w:pPr>
      <w:r>
        <w:rPr>
          <w:rFonts w:hint="eastAsia" w:ascii="黑体" w:eastAsia="黑体"/>
          <w:b/>
          <w:snapToGrid w:val="0"/>
          <w:kern w:val="0"/>
          <w:sz w:val="28"/>
          <w:szCs w:val="28"/>
        </w:rPr>
        <w:t>目    录</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仿宋_GB2312" w:eastAsia="仿宋_GB2312"/>
          <w:snapToGrid w:val="0"/>
          <w:kern w:val="0"/>
          <w:sz w:val="28"/>
          <w:szCs w:val="28"/>
        </w:rPr>
      </w:pP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rFonts w:hint="eastAsia" w:ascii="仿宋_GB2312" w:hAnsi="华文中宋" w:eastAsia="仿宋_GB2312"/>
          <w:snapToGrid w:val="0"/>
          <w:kern w:val="0"/>
          <w:sz w:val="28"/>
          <w:szCs w:val="28"/>
        </w:rPr>
        <w:fldChar w:fldCharType="begin"/>
      </w:r>
      <w:r>
        <w:rPr>
          <w:rFonts w:hint="eastAsia" w:ascii="仿宋_GB2312" w:hAnsi="华文中宋" w:eastAsia="仿宋_GB2312"/>
          <w:snapToGrid w:val="0"/>
          <w:kern w:val="0"/>
          <w:sz w:val="28"/>
          <w:szCs w:val="28"/>
        </w:rPr>
        <w:instrText xml:space="preserve"> TOC \o "1-1" \n \h \z \u </w:instrText>
      </w:r>
      <w:r>
        <w:rPr>
          <w:rFonts w:hint="eastAsia" w:ascii="仿宋_GB2312" w:hAnsi="华文中宋" w:eastAsia="仿宋_GB2312"/>
          <w:snapToGrid w:val="0"/>
          <w:kern w:val="0"/>
          <w:sz w:val="28"/>
          <w:szCs w:val="28"/>
        </w:rPr>
        <w:fldChar w:fldCharType="separate"/>
      </w:r>
      <w:r>
        <w:rPr>
          <w:sz w:val="28"/>
          <w:szCs w:val="28"/>
        </w:rPr>
        <w:fldChar w:fldCharType="begin"/>
      </w:r>
      <w:r>
        <w:rPr>
          <w:sz w:val="28"/>
          <w:szCs w:val="28"/>
        </w:rPr>
        <w:instrText xml:space="preserve"> HYPERLINK \l "_Toc528929270" </w:instrText>
      </w:r>
      <w:r>
        <w:rPr>
          <w:sz w:val="28"/>
          <w:szCs w:val="28"/>
        </w:rPr>
        <w:fldChar w:fldCharType="separate"/>
      </w:r>
      <w:r>
        <w:rPr>
          <w:rStyle w:val="9"/>
          <w:rFonts w:hint="eastAsia" w:ascii="仿宋_GB2312" w:eastAsia="仿宋_GB2312"/>
          <w:snapToGrid w:val="0"/>
          <w:kern w:val="0"/>
          <w:sz w:val="28"/>
          <w:szCs w:val="28"/>
        </w:rPr>
        <w:t>前  言</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"_Toc528929271" </w:instrText>
      </w:r>
      <w:r>
        <w:rPr>
          <w:sz w:val="28"/>
          <w:szCs w:val="28"/>
        </w:rPr>
        <w:fldChar w:fldCharType="separate"/>
      </w:r>
      <w:r>
        <w:rPr>
          <w:rStyle w:val="9"/>
          <w:rFonts w:hint="eastAsia" w:ascii="仿宋_GB2312" w:eastAsia="仿宋_GB2312"/>
          <w:snapToGrid w:val="0"/>
          <w:kern w:val="0"/>
          <w:sz w:val="28"/>
          <w:szCs w:val="28"/>
        </w:rPr>
        <w:t>一、概  述</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"_Toc528929272" </w:instrText>
      </w:r>
      <w:r>
        <w:rPr>
          <w:sz w:val="28"/>
          <w:szCs w:val="28"/>
        </w:rPr>
        <w:fldChar w:fldCharType="separate"/>
      </w:r>
      <w:r>
        <w:rPr>
          <w:rStyle w:val="9"/>
          <w:rFonts w:hint="eastAsia" w:ascii="仿宋_GB2312" w:eastAsia="仿宋_GB2312"/>
          <w:snapToGrid w:val="0"/>
          <w:kern w:val="0"/>
          <w:sz w:val="28"/>
          <w:szCs w:val="28"/>
        </w:rPr>
        <w:t>二、项目建设的必要性</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"_Toc528929273" </w:instrText>
      </w:r>
      <w:r>
        <w:rPr>
          <w:sz w:val="28"/>
          <w:szCs w:val="28"/>
        </w:rPr>
        <w:fldChar w:fldCharType="separate"/>
      </w:r>
      <w:r>
        <w:rPr>
          <w:rStyle w:val="9"/>
          <w:rFonts w:hint="eastAsia" w:ascii="仿宋_GB2312" w:eastAsia="仿宋_GB2312"/>
          <w:snapToGrid w:val="0"/>
          <w:kern w:val="0"/>
          <w:sz w:val="28"/>
          <w:szCs w:val="28"/>
        </w:rPr>
        <w:t>三、需求分析与建设规模</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"_Toc528929274" </w:instrText>
      </w:r>
      <w:r>
        <w:rPr>
          <w:sz w:val="28"/>
          <w:szCs w:val="28"/>
        </w:rPr>
        <w:fldChar w:fldCharType="separate"/>
      </w:r>
      <w:r>
        <w:rPr>
          <w:rStyle w:val="9"/>
          <w:rFonts w:hint="eastAsia" w:ascii="仿宋_GB2312" w:eastAsia="仿宋_GB2312"/>
          <w:snapToGrid w:val="0"/>
          <w:kern w:val="0"/>
          <w:sz w:val="28"/>
          <w:szCs w:val="28"/>
        </w:rPr>
        <w:t>四、工程选址</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"_Toc528929275" </w:instrText>
      </w:r>
      <w:r>
        <w:rPr>
          <w:sz w:val="28"/>
          <w:szCs w:val="28"/>
        </w:rPr>
        <w:fldChar w:fldCharType="separate"/>
      </w:r>
      <w:r>
        <w:rPr>
          <w:rStyle w:val="9"/>
          <w:rFonts w:hint="eastAsia" w:ascii="仿宋_GB2312" w:eastAsia="仿宋_GB2312"/>
          <w:snapToGrid w:val="0"/>
          <w:kern w:val="0"/>
          <w:sz w:val="28"/>
          <w:szCs w:val="28"/>
        </w:rPr>
        <w:t>五、总体方案</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"_Toc528929276" </w:instrText>
      </w:r>
      <w:r>
        <w:rPr>
          <w:sz w:val="28"/>
          <w:szCs w:val="28"/>
        </w:rPr>
        <w:fldChar w:fldCharType="separate"/>
      </w:r>
      <w:r>
        <w:rPr>
          <w:rStyle w:val="9"/>
          <w:rFonts w:hint="eastAsia" w:ascii="仿宋_GB2312" w:eastAsia="仿宋_GB2312"/>
          <w:snapToGrid w:val="0"/>
          <w:kern w:val="0"/>
          <w:sz w:val="28"/>
          <w:szCs w:val="28"/>
        </w:rPr>
        <w:t>六、工程方案</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"_Toc528929277" </w:instrText>
      </w:r>
      <w:r>
        <w:rPr>
          <w:sz w:val="28"/>
          <w:szCs w:val="28"/>
        </w:rPr>
        <w:fldChar w:fldCharType="separate"/>
      </w:r>
      <w:r>
        <w:rPr>
          <w:rStyle w:val="9"/>
          <w:rFonts w:hint="eastAsia" w:ascii="仿宋_GB2312" w:eastAsia="仿宋_GB2312"/>
          <w:snapToGrid w:val="0"/>
          <w:kern w:val="0"/>
          <w:sz w:val="28"/>
          <w:szCs w:val="28"/>
        </w:rPr>
        <w:t>七、生态环境影响</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"_Toc528929278" </w:instrText>
      </w:r>
      <w:r>
        <w:rPr>
          <w:sz w:val="28"/>
          <w:szCs w:val="28"/>
        </w:rPr>
        <w:fldChar w:fldCharType="separate"/>
      </w:r>
      <w:r>
        <w:rPr>
          <w:rStyle w:val="9"/>
          <w:rFonts w:hint="eastAsia" w:ascii="仿宋_GB2312" w:eastAsia="仿宋_GB2312"/>
          <w:snapToGrid w:val="0"/>
          <w:kern w:val="0"/>
          <w:sz w:val="28"/>
          <w:szCs w:val="28"/>
        </w:rPr>
        <w:t>八、资源综合利用</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"_Toc528929279" </w:instrText>
      </w:r>
      <w:r>
        <w:rPr>
          <w:sz w:val="28"/>
          <w:szCs w:val="28"/>
        </w:rPr>
        <w:fldChar w:fldCharType="separate"/>
      </w:r>
      <w:r>
        <w:rPr>
          <w:rStyle w:val="9"/>
          <w:rFonts w:hint="eastAsia" w:ascii="仿宋_GB2312" w:eastAsia="仿宋_GB2312"/>
          <w:snapToGrid w:val="0"/>
          <w:kern w:val="0"/>
          <w:sz w:val="28"/>
          <w:szCs w:val="28"/>
        </w:rPr>
        <w:t>九、工程质量安全分析</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"_Toc528929280" </w:instrText>
      </w:r>
      <w:r>
        <w:rPr>
          <w:sz w:val="28"/>
          <w:szCs w:val="28"/>
        </w:rPr>
        <w:fldChar w:fldCharType="separate"/>
      </w:r>
      <w:r>
        <w:rPr>
          <w:rStyle w:val="9"/>
          <w:rFonts w:hint="eastAsia" w:ascii="仿宋_GB2312" w:eastAsia="仿宋_GB2312"/>
          <w:snapToGrid w:val="0"/>
          <w:kern w:val="0"/>
          <w:sz w:val="28"/>
          <w:szCs w:val="28"/>
        </w:rPr>
        <w:t>十、项目组织管理</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"_Toc528929281" </w:instrText>
      </w:r>
      <w:r>
        <w:rPr>
          <w:sz w:val="28"/>
          <w:szCs w:val="28"/>
        </w:rPr>
        <w:fldChar w:fldCharType="separate"/>
      </w:r>
      <w:r>
        <w:rPr>
          <w:rStyle w:val="9"/>
          <w:rFonts w:hint="eastAsia" w:ascii="仿宋_GB2312" w:eastAsia="仿宋_GB2312"/>
          <w:snapToGrid w:val="0"/>
          <w:kern w:val="0"/>
          <w:sz w:val="28"/>
          <w:szCs w:val="28"/>
        </w:rPr>
        <w:t>十一、项目实施计划</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"_Toc528929282" </w:instrText>
      </w:r>
      <w:r>
        <w:rPr>
          <w:sz w:val="28"/>
          <w:szCs w:val="28"/>
        </w:rPr>
        <w:fldChar w:fldCharType="separate"/>
      </w:r>
      <w:r>
        <w:rPr>
          <w:rStyle w:val="9"/>
          <w:rFonts w:hint="eastAsia" w:ascii="仿宋_GB2312" w:eastAsia="仿宋_GB2312"/>
          <w:snapToGrid w:val="0"/>
          <w:kern w:val="0"/>
          <w:sz w:val="28"/>
          <w:szCs w:val="28"/>
        </w:rPr>
        <w:t>十二、社会影响分析</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"_Toc528929283" </w:instrText>
      </w:r>
      <w:r>
        <w:rPr>
          <w:sz w:val="28"/>
          <w:szCs w:val="28"/>
        </w:rPr>
        <w:fldChar w:fldCharType="separate"/>
      </w:r>
      <w:r>
        <w:rPr>
          <w:rStyle w:val="9"/>
          <w:rFonts w:hint="eastAsia" w:ascii="仿宋_GB2312" w:eastAsia="仿宋_GB2312"/>
          <w:snapToGrid w:val="0"/>
          <w:kern w:val="0"/>
          <w:sz w:val="28"/>
          <w:szCs w:val="28"/>
        </w:rPr>
        <w:t>十三、工程概算</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"_Toc528929284" </w:instrText>
      </w:r>
      <w:r>
        <w:rPr>
          <w:sz w:val="28"/>
          <w:szCs w:val="28"/>
        </w:rPr>
        <w:fldChar w:fldCharType="separate"/>
      </w:r>
      <w:r>
        <w:rPr>
          <w:rStyle w:val="9"/>
          <w:rFonts w:hint="eastAsia" w:ascii="仿宋_GB2312" w:eastAsia="仿宋_GB2312"/>
          <w:snapToGrid w:val="0"/>
          <w:kern w:val="0"/>
          <w:sz w:val="28"/>
          <w:szCs w:val="28"/>
        </w:rPr>
        <w:t>十四、项目招标</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"_Toc528929285" </w:instrText>
      </w:r>
      <w:r>
        <w:rPr>
          <w:sz w:val="28"/>
          <w:szCs w:val="28"/>
        </w:rPr>
        <w:fldChar w:fldCharType="separate"/>
      </w:r>
      <w:r>
        <w:rPr>
          <w:rStyle w:val="9"/>
          <w:rFonts w:hint="eastAsia" w:ascii="仿宋_GB2312" w:eastAsia="仿宋_GB2312"/>
          <w:snapToGrid w:val="0"/>
          <w:kern w:val="0"/>
          <w:sz w:val="28"/>
          <w:szCs w:val="28"/>
        </w:rPr>
        <w:t>十五、结论与建议</w:t>
      </w:r>
      <w:r>
        <w:rPr>
          <w:rStyle w:val="9"/>
          <w:rFonts w:hint="eastAsia" w:ascii="仿宋_GB2312" w:eastAsia="仿宋_GB2312"/>
          <w:snapToGrid w:val="0"/>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r>
        <w:rPr>
          <w:rFonts w:hint="eastAsia" w:ascii="仿宋_GB2312" w:hAnsi="华文中宋" w:eastAsia="仿宋_GB2312"/>
          <w:snapToGrid w:val="0"/>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r>
        <w:rPr>
          <w:rFonts w:hint="eastAsia" w:ascii="仿宋_GB2312" w:hAnsi="华文中宋" w:eastAsia="仿宋_GB2312"/>
          <w:snapToGrid w:val="0"/>
          <w:kern w:val="0"/>
          <w:sz w:val="28"/>
          <w:szCs w:val="28"/>
        </w:rPr>
        <w:t>附录：建筑工程建设项目工程方案初步设计深度文件编制要求</w:t>
      </w:r>
    </w:p>
    <w:p>
      <w:pPr>
        <w:keepNext w:val="0"/>
        <w:keepLines w:val="0"/>
        <w:pageBreakBefore w:val="0"/>
        <w:widowControl/>
        <w:kinsoku/>
        <w:wordWrap/>
        <w:overflowPunct/>
        <w:topLinePunct w:val="0"/>
        <w:autoSpaceDE/>
        <w:autoSpaceDN/>
        <w:bidi w:val="0"/>
        <w:spacing w:line="420" w:lineRule="exact"/>
        <w:ind w:firstLine="840" w:firstLineChars="300"/>
        <w:jc w:val="left"/>
        <w:textAlignment w:val="auto"/>
        <w:rPr>
          <w:rFonts w:ascii="华文中宋" w:hAnsi="华文中宋" w:eastAsia="华文中宋"/>
          <w:snapToGrid w:val="0"/>
          <w:kern w:val="0"/>
          <w:sz w:val="28"/>
          <w:szCs w:val="28"/>
        </w:rPr>
        <w:sectPr>
          <w:pgSz w:w="11906" w:h="16838"/>
          <w:pgMar w:top="2041" w:right="1474" w:bottom="1871" w:left="2098" w:header="851" w:footer="992" w:gutter="0"/>
          <w:cols w:space="425" w:num="1"/>
          <w:docGrid w:linePitch="312" w:charSpace="0"/>
        </w:sectPr>
      </w:pPr>
    </w:p>
    <w:p>
      <w:pPr>
        <w:keepNext w:val="0"/>
        <w:keepLines w:val="0"/>
        <w:pageBreakBefore w:val="0"/>
        <w:widowControl/>
        <w:kinsoku/>
        <w:wordWrap/>
        <w:overflowPunct/>
        <w:topLinePunct w:val="0"/>
        <w:autoSpaceDE/>
        <w:autoSpaceDN/>
        <w:bidi w:val="0"/>
        <w:adjustRightInd w:val="0"/>
        <w:snapToGrid w:val="0"/>
        <w:spacing w:beforeLines="50" w:afterLines="50" w:line="420" w:lineRule="exact"/>
        <w:jc w:val="center"/>
        <w:textAlignment w:val="auto"/>
        <w:rPr>
          <w:rFonts w:ascii="华文中宋" w:hAnsi="华文中宋" w:eastAsia="华文中宋"/>
          <w:b/>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0" w:name="_Toc528929270"/>
      <w:r>
        <w:rPr>
          <w:rFonts w:hint="eastAsia" w:ascii="黑体" w:eastAsia="黑体"/>
          <w:b/>
          <w:snapToGrid w:val="0"/>
          <w:kern w:val="0"/>
          <w:sz w:val="28"/>
          <w:szCs w:val="28"/>
        </w:rPr>
        <w:t>前    言</w:t>
      </w:r>
      <w:bookmarkEnd w:id="0"/>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b/>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投资项目可行性研究是固定资产投资活动的一项基础性工作，可行性研究结论是投资决策的重要依据。</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为贯彻落实党中央、国务院关于深化“放管服”改革和优化营商环境的部署要求，加快推进本市建设项目审批制度改革，根据上海市人民政府印发的《上海市工程建设项目审批制度改革试点实施方案》，组织编制了《政府投资房屋建筑工程项目可行性研究报告（初步设计深度）编制指南》（以下简称《指南》）。</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《指南》适用于本市行政区域内政府投资的所有新建、改建、扩建的房屋建筑工程项目可行性研究（初步设计深度）工作，主要服务于从事政府投资项目可行性研究工作的专业人员。</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指南》主要章节包括了概述、项目建设的必要性、需求分析与建设规模、工程选址、总体方案、工程方案、生态环境影响、资源综合利用、工程质量安全分析、项目组织管理、项目实施计划、社会影响分析、工程概算、项目招标、结论与建议等十五个部分，其内容和深度设置具有一定通用性，可行性研究工作人员可根据具体项目的实际情况，合理选择研究评价的范围和重点。</w:t>
      </w:r>
      <w:r>
        <w:rPr>
          <w:rFonts w:ascii="仿宋_GB2312" w:eastAsia="仿宋_GB2312"/>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 w:name="_Toc528929271"/>
      <w:r>
        <w:rPr>
          <w:rFonts w:hint="eastAsia" w:ascii="黑体" w:eastAsia="黑体"/>
          <w:b/>
          <w:snapToGrid w:val="0"/>
          <w:kern w:val="0"/>
          <w:sz w:val="28"/>
          <w:szCs w:val="28"/>
        </w:rPr>
        <w:t>一、概  述</w:t>
      </w:r>
      <w:bookmarkEnd w:id="1"/>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b/>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1、项目背景</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简要说明项目名称、项目法人（建设单位）、项目提出理由与过程，以及可行性研究报告的编制过程等。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2、编制依据</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包括批准的项目建议书、业主的委托书及有关合同或协议书、城市总体规划和专业规划文件、建设项目选址意见书和用地预审批复、与建设规模相关的有关批复(如医院床位批复等)、相关主管部门行业审查意见、有关方针政策性文件、工程勘察报告、采用的主要规范和标准、其他批复文件或专题研究成果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3、项目概况</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概括描述项目的拟建地点、功能定位、建设内容和规模、实施计划、投入总资金及资金筹措、主要技术经济指标等。</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2" w:name="_Toc528929272"/>
      <w:r>
        <w:rPr>
          <w:rFonts w:hint="eastAsia" w:ascii="黑体" w:eastAsia="黑体"/>
          <w:b/>
          <w:snapToGrid w:val="0"/>
          <w:kern w:val="0"/>
          <w:sz w:val="28"/>
          <w:szCs w:val="28"/>
        </w:rPr>
        <w:t>二、项目建设的必要性</w:t>
      </w:r>
      <w:bookmarkEnd w:id="2"/>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可行性研究阶段应对项目建设的依据和主要理由进行分析论证，一般从宏观和微观两个层面进行。</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宏观层面，分析论证拟建项目是否符合合理配置资源和有效利用资源的要求；是否符合国民经济和社会发展总体规划、主体功能区规划、专项规划、区域规划、行业发展规划、专业规划的要求；是否符合保护环境、可持续发展的要求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微观层面，分析论证拟建项目是否有利于满足社会需求需要、提升公共事业发展水平、增强国防和社会安全能力、促进地区经济和社会协调发展。</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3" w:name="_Toc528929273"/>
      <w:r>
        <w:rPr>
          <w:rFonts w:hint="eastAsia" w:ascii="黑体" w:eastAsia="黑体"/>
          <w:b/>
          <w:snapToGrid w:val="0"/>
          <w:kern w:val="0"/>
          <w:sz w:val="28"/>
          <w:szCs w:val="28"/>
        </w:rPr>
        <w:t>三、需求分析与建设规模</w:t>
      </w:r>
      <w:bookmarkEnd w:id="3"/>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0" w:firstLineChars="0"/>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建筑工程项目可行性研究阶段应该根据现状调查和需求预测结果，以及不同的建筑功能，按照相关建设标准或规范规定要求，研究确定合理的建设规模，并列出主要技术经济指标。</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筑工程项目的主要技术经济指标包括：总用地面积、总建筑面积、分项建筑面积、建筑基底总面积、绿地总面积、容积率、建筑密度、绿地率、停车泊位数，以及容纳人数、主要建筑和核心建筑的层数、层高和总高度等；不同建筑功能所对应的工程规模，如住宅的套型、套数及面积等，医院建筑中的病床数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如有需要，还可根据项目条件，经过论证确定一次达到或分期达到规模的方案。</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4" w:name="_Toc528929274"/>
      <w:r>
        <w:rPr>
          <w:rFonts w:hint="eastAsia" w:ascii="黑体" w:eastAsia="黑体"/>
          <w:b/>
          <w:snapToGrid w:val="0"/>
          <w:kern w:val="0"/>
          <w:sz w:val="28"/>
          <w:szCs w:val="28"/>
        </w:rPr>
        <w:t>四、工程选址</w:t>
      </w:r>
      <w:bookmarkEnd w:id="4"/>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建筑工程项目可行性研究阶段应对工程选址进行描述和分析，论证场址条件是否满足项目建设和使用要求。</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拟建项目的工程选址，应按照“因地制宜、节约用地”、“少拆迁、少移民”、“合理布置、安全运营”、“有利于保护环境和生态”等原则开展论证工作。</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主要内容应包含：</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场址现状：描述项目所处的地理位置，所选场址土地权属类别及占地面积，改扩建项目现有场址利用情况等。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场址位置：论证拟选场址的坐落位置是否符合当地发展规划，与周边居民和企业的关系是否协调，场址能否满足项目建设和运营需要。</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占地面积：根据项目建设规模、主要建构筑物组成，参照同类项目计算拟建项目需要占用的土地面积，论证拟选场地面积能否满足项目要求，是否考虑留有发展余地。</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建设条件：论证拟选场址的地形地貌气象条件、工程地质水文地质条件、交通运输条件、水电等公共设施供应条件、地震活动情况等能否满足项目建设和运营要求。</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征地动迁：论证拟建场址征地拆迁移民安置方案。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环境保护：论证拟选场址的位置是否能被当地环境容量所接受，是否符合国家环境保护法规的要求。</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如有需要，应根据场址选择的基本要求和主要论证内容，结合相关规划情况和设计方案，对两个及以上场址方案进行工程条件和经济性条件的综合比较，并提出推荐场址方案。</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5" w:name="_Toc528929275"/>
      <w:r>
        <w:rPr>
          <w:rFonts w:hint="eastAsia" w:ascii="黑体" w:eastAsia="黑体"/>
          <w:b/>
          <w:snapToGrid w:val="0"/>
          <w:kern w:val="0"/>
          <w:sz w:val="28"/>
          <w:szCs w:val="28"/>
        </w:rPr>
        <w:t>五、总体方案</w:t>
      </w:r>
      <w:bookmarkEnd w:id="5"/>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0" w:firstLineChars="0"/>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建筑工程项目可行性研究阶段的总体方案主要指对布局方案和技术方案等具体研究论证工作。</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1、布局方案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结合场址条件和相关外部条件，研究拟建项目的平面布局、功能布局、建筑内部交通组织流线和竖向设计、辅助工程方案等，合理确定土地利用系数、建筑系数、绿化系数等，形成总体布局方案。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布局方案应提出两个或两个以上方案进行技术经济全方面的比选，分别说明各方案的优缺点，然后择优确定推荐方案。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2、技术方案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建筑工程项目中，为实现工程目标而采用的主要技术方案通常指主要工程技术和主体结构选型等。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对于采用新技术的工程项目，技术方案主要研究与项目相关的国内外各种方法，分析其优缺点及发展趋势，采用先进适用的技术方案；研究拟采用的技术方案是否与采用的原材料相适应，其技术来源是否可靠，是否符合节能和清洁生产要求。</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kern w:val="0"/>
          <w:sz w:val="28"/>
          <w:szCs w:val="28"/>
        </w:rPr>
        <w:t>经过对技术方案的比选论证后提出推荐方案，技术方案的比选内容主要包含：技术的先进程度、技术的可靠程度、技术对产品质量性能的保证程度、技术对原材料的适应性、技术获得的难易程度、对环境的影响程度，投资及运营成本影响等；如</w:t>
      </w:r>
      <w:r>
        <w:rPr>
          <w:rFonts w:hint="eastAsia" w:ascii="仿宋_GB2312" w:eastAsia="仿宋_GB2312"/>
          <w:snapToGrid w:val="0"/>
          <w:color w:val="000000" w:themeColor="text1"/>
          <w:kern w:val="0"/>
          <w:sz w:val="28"/>
          <w:szCs w:val="28"/>
        </w:rPr>
        <w:t>需采用绿色建筑和装配式建筑方案的，应结合国家和本市有关要求，对其必要性、适应性和经济性等方面进行充分研究论证。</w:t>
      </w:r>
    </w:p>
    <w:p>
      <w:pPr>
        <w:keepNext w:val="0"/>
        <w:keepLines w:val="0"/>
        <w:pageBreakBefore w:val="0"/>
        <w:kinsoku/>
        <w:wordWrap/>
        <w:overflowPunct/>
        <w:topLinePunct w:val="0"/>
        <w:autoSpaceDE/>
        <w:autoSpaceDN/>
        <w:bidi w:val="0"/>
        <w:snapToGrid w:val="0"/>
        <w:spacing w:line="420" w:lineRule="exact"/>
        <w:ind w:firstLine="645"/>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6" w:name="_Toc528929276"/>
      <w:r>
        <w:rPr>
          <w:rFonts w:hint="eastAsia" w:ascii="黑体" w:eastAsia="黑体"/>
          <w:b/>
          <w:snapToGrid w:val="0"/>
          <w:kern w:val="0"/>
          <w:sz w:val="28"/>
          <w:szCs w:val="28"/>
        </w:rPr>
        <w:t>六、工程方案</w:t>
      </w:r>
      <w:bookmarkEnd w:id="6"/>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0" w:firstLineChars="0"/>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工程方案构成项目的实体。工程方案是在已选定的工程选址、建设规模、总体方案的基础上，研究论证主要建筑物、构筑物的建造方案。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经研究提出的工程方案，应能够满足基本使用功能要求；应能适应已选定的场址；应符合政府部门或者专门机构发布的技术标准规范要求；应在满足使用功能和保证质量的前提下，力求降低造价，节约建设资金。</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本指南中的工程方案应满足初步设计深度要求，具体详见附录。</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7" w:name="_Toc528929277"/>
      <w:r>
        <w:rPr>
          <w:rFonts w:hint="eastAsia" w:ascii="黑体" w:eastAsia="黑体"/>
          <w:b/>
          <w:snapToGrid w:val="0"/>
          <w:kern w:val="0"/>
          <w:sz w:val="28"/>
          <w:szCs w:val="28"/>
        </w:rPr>
        <w:t>七、生态环境影响</w:t>
      </w:r>
      <w:bookmarkEnd w:id="7"/>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0" w:firstLineChars="0"/>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设项目一般会引起项目所在地自然环境、社会环境和生态环境的变化，对环境现状、环境质量产生不同程度的影响。为保护生态环境和自然文化遗产，维护公共利益，对于可能对环境产生重要影响的建设项目，可行性研究阶段应从防治污染、保护生态环境等角度进行环境和生态影响的分析评价，确保生态环境和自然文化遗产在项目建设和运营过程中得到有效保护，并避免出现由于项目建设实施而引发的地质灾害等问题。</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1、生态和环境现状</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包括项目场址的自然生态系统状况、资源承载力、环境条件、现有污染物情况和环境容量状况等，明确项目建设是否涉及生态保护红线以及与相关规划环评结论的相符性。</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2、生态环境影响分析</w:t>
      </w:r>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56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包括生态破坏、特种威胁、排放污染物类型、排放量情况分析，水土流失预测，对生态环境的影响因素和影响程度，对流域和区域生态系统及环境的综合影响。</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3、生态环境保护措施</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按照有关生态环境保护修复、水土保持的政策法规要求，对可能造成的生态环境损害提出治理措施，对治理方案的可行性、治理效果进行分析论证。根据项目情况，提出污染防治措施方案并进行可行性分析论证。</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4、特殊环境影响</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分析拟建项目对历史文化遗产、自然遗产、自然保护区、森林公园、重要湿地、风景名胜和自然景观等可能造成的不利影响，并提出保护措施。</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8" w:name="_Toc528929278"/>
      <w:r>
        <w:rPr>
          <w:rFonts w:hint="eastAsia" w:ascii="黑体" w:eastAsia="黑体"/>
          <w:b/>
          <w:snapToGrid w:val="0"/>
          <w:kern w:val="0"/>
          <w:sz w:val="28"/>
          <w:szCs w:val="28"/>
        </w:rPr>
        <w:t>八、资源综合利用</w:t>
      </w:r>
      <w:bookmarkEnd w:id="8"/>
    </w:p>
    <w:p>
      <w:pPr>
        <w:pStyle w:val="14"/>
        <w:keepNext w:val="0"/>
        <w:keepLines w:val="0"/>
        <w:pageBreakBefore w:val="0"/>
        <w:kinsoku/>
        <w:wordWrap/>
        <w:overflowPunct/>
        <w:topLinePunct w:val="0"/>
        <w:autoSpaceDE/>
        <w:autoSpaceDN/>
        <w:bidi w:val="0"/>
        <w:adjustRightInd w:val="0"/>
        <w:snapToGrid w:val="0"/>
        <w:spacing w:beforeLines="50" w:afterLines="50" w:line="420" w:lineRule="exact"/>
        <w:ind w:firstLine="0" w:firstLineChars="0"/>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1、资源利用方案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对于需要占用或消耗资源能源的建设项目，应阐述项需要占用的资源能源品种、数量及来源情况，并提出资源供应方案。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对于能够合理有效利用资源的建设项目，要通过单位生产能力主要资源消耗量、资源循环再生利用率等指标的国内外先进水平对比分析，评价拟建项目资源利用效率的先进性和合理性；分析评价资源综合利用方案是否符合发展循环经济、建设节约型社会的要求；分析资源利用是否会对地表(下)水等其他资源造成不利影响，以提高资源综合利用率。</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2、资源节约措施</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阐述项目方案中的各类能源和水资源节约以及项目废弃物综合利用等的主要措施方案。对拟建项目的资源能源能耗指标进行分析，阐述在提高资源能源利用效率、降低资源能源消耗、实现资源能源再利用与再循环等方面的主要措施，论证是否符合能耗准入标准及资源节约和有效利用的相关要求。</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9" w:name="_Toc528929279"/>
      <w:r>
        <w:rPr>
          <w:rFonts w:hint="eastAsia" w:ascii="黑体" w:eastAsia="黑体"/>
          <w:b/>
          <w:snapToGrid w:val="0"/>
          <w:kern w:val="0"/>
          <w:sz w:val="28"/>
          <w:szCs w:val="28"/>
        </w:rPr>
        <w:t>九、工程质量安全分析</w:t>
      </w:r>
      <w:bookmarkEnd w:id="9"/>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工程质量安全关系人民生命财产安全，在项目可行性研究阶段应依据工程方案、相关规划和专业评价文件，对工程建设过程中可能造成工程本体严重质量安全事故、参加人员伤亡、第三方财产损失或人身伤害的质量安全风险进行识别、分析与评估，提出针对性预控措施和应急预案。</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1、工程地质影响</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项目建设场地的地形、地貌、地质构造、地层岩性、不良地质现象以及水文地质条件对工程质量安全的影响分析。</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地质勘探测点布置、勘探方法和手段对工程质量安全的影响分析。</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2、自然环境影响</w:t>
      </w:r>
    </w:p>
    <w:p>
      <w:pPr>
        <w:pStyle w:val="14"/>
        <w:keepNext w:val="0"/>
        <w:keepLines w:val="0"/>
        <w:pageBreakBefore w:val="0"/>
        <w:kinsoku/>
        <w:wordWrap/>
        <w:overflowPunct/>
        <w:topLinePunct w:val="0"/>
        <w:autoSpaceDE/>
        <w:autoSpaceDN/>
        <w:bidi w:val="0"/>
        <w:adjustRightInd w:val="0"/>
        <w:snapToGrid w:val="0"/>
        <w:spacing w:beforeLines="50" w:afterLines="50" w:line="340" w:lineRule="exact"/>
        <w:ind w:firstLine="56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地震、台风、暴雨、潮汛、雷电等对工程质量安全的影响分析。</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3、建设方案影响</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地基与基础、主体结构、给排水、电气、弱电、采暖、通风、空调、电梯、装饰装修、工艺流程、设备选型等工程设计方案对工程质量安全的影响分析。</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4、外部设施影响</w:t>
      </w:r>
    </w:p>
    <w:p>
      <w:pPr>
        <w:pStyle w:val="14"/>
        <w:keepNext w:val="0"/>
        <w:keepLines w:val="0"/>
        <w:pageBreakBefore w:val="0"/>
        <w:kinsoku/>
        <w:wordWrap/>
        <w:overflowPunct/>
        <w:topLinePunct w:val="0"/>
        <w:autoSpaceDE/>
        <w:autoSpaceDN/>
        <w:bidi w:val="0"/>
        <w:adjustRightInd w:val="0"/>
        <w:snapToGrid w:val="0"/>
        <w:spacing w:beforeLines="50" w:afterLines="50" w:line="340" w:lineRule="exact"/>
        <w:ind w:firstLine="56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项目建设场地及周边一定范围内既有或在建的供水、排水、供电、供热、供气、通信、广播电视等管线设施，轨道交通、越江隧道、地下通道、高速公路、铁路、桥梁、城市快速路、通航河流、楼宇等建筑物或构筑物对工程质量安全的影响分析，以及工程建设对外部设施和人员的影响分析。</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5、工程组织实施影响</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项目组织机构设置、人力资源配置、安全生产制度设计，以及勘察、设计、施工、监理、设备材料供应单位选择的合规性、科学性对工程质量安全的影响分析。</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项目建设工期及实施进度、关键路线进度计划的设计对工程质量安全的影响分析。</w:t>
      </w:r>
    </w:p>
    <w:p>
      <w:pPr>
        <w:keepNext w:val="0"/>
        <w:keepLines w:val="0"/>
        <w:pageBreakBefore w:val="0"/>
        <w:kinsoku/>
        <w:wordWrap/>
        <w:overflowPunct/>
        <w:topLinePunct w:val="0"/>
        <w:autoSpaceDE/>
        <w:autoSpaceDN/>
        <w:bidi w:val="0"/>
        <w:adjustRightInd w:val="0"/>
        <w:snapToGrid w:val="0"/>
        <w:spacing w:beforeLines="50" w:afterLines="50" w:line="340" w:lineRule="exact"/>
        <w:ind w:firstLine="562" w:firstLineChars="200"/>
        <w:textAlignment w:val="auto"/>
        <w:outlineLvl w:val="9"/>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6、工程质量安全防范措施</w:t>
      </w:r>
    </w:p>
    <w:p>
      <w:pPr>
        <w:keepNext w:val="0"/>
        <w:keepLines w:val="0"/>
        <w:pageBreakBefore w:val="0"/>
        <w:widowControl/>
        <w:kinsoku/>
        <w:wordWrap/>
        <w:overflowPunct/>
        <w:topLinePunct w:val="0"/>
        <w:autoSpaceDE/>
        <w:autoSpaceDN/>
        <w:bidi w:val="0"/>
        <w:adjustRightInd w:val="0"/>
        <w:snapToGrid w:val="0"/>
        <w:spacing w:beforeLines="50" w:afterLines="50" w:line="340" w:lineRule="exact"/>
        <w:ind w:firstLine="560" w:firstLineChars="200"/>
        <w:textAlignment w:val="auto"/>
        <w:outlineLvl w:val="9"/>
        <w:rPr>
          <w:rFonts w:ascii="仿宋_GB2312" w:eastAsia="仿宋_GB2312"/>
          <w:snapToGrid w:val="0"/>
          <w:kern w:val="0"/>
          <w:sz w:val="28"/>
          <w:szCs w:val="28"/>
        </w:rPr>
      </w:pPr>
      <w:r>
        <w:rPr>
          <w:rFonts w:hint="eastAsia" w:ascii="仿宋_GB2312" w:eastAsia="仿宋_GB2312"/>
          <w:snapToGrid w:val="0"/>
          <w:kern w:val="0"/>
          <w:sz w:val="28"/>
          <w:szCs w:val="28"/>
        </w:rPr>
        <w:t>从场地选择、地质勘探、工程设计、建设进度、消防、环保，以及组织机构、人员配置、制度设计、物资保障等角度制定工程质量安全防范措施及应急预案。</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napToGrid w:val="0"/>
          <w:kern w:val="0"/>
          <w:sz w:val="28"/>
          <w:szCs w:val="28"/>
        </w:rPr>
      </w:pPr>
      <w:r>
        <w:rPr>
          <w:rFonts w:ascii="仿宋_GB2312" w:eastAsia="仿宋_GB2312"/>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0" w:name="_Toc528929280"/>
      <w:r>
        <w:rPr>
          <w:rFonts w:hint="eastAsia" w:ascii="黑体" w:eastAsia="黑体"/>
          <w:b/>
          <w:snapToGrid w:val="0"/>
          <w:kern w:val="0"/>
          <w:sz w:val="28"/>
          <w:szCs w:val="28"/>
        </w:rPr>
        <w:t>十、项目组织管理</w:t>
      </w:r>
      <w:bookmarkEnd w:id="10"/>
    </w:p>
    <w:p>
      <w:pPr>
        <w:keepNext w:val="0"/>
        <w:keepLines w:val="0"/>
        <w:pageBreakBefore w:val="0"/>
        <w:widowControl/>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合理、科学确定项目组织机构和配置人力资源是保证项目建设和运营顺利进行，提高劳动效率的重要条件。可行性研究阶段应对项目建设期和运营期的管理模式及其组织机构设置和人员配置等内容进行研究。</w:t>
      </w: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建设期项目组织管理，主要阐述项目建设期管理模式的初步设想与计划，以及项目建设期的主要工作内容。</w:t>
      </w: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运营期项目组织管理，主要简述运营期项目组织管理的主体，以及项目运营期间的组织与管理方案、必要人员培训方案。</w:t>
      </w: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除此之外，还应分析建设和运营过程中可能对身体健康和安全危害的物品、场所及其危害范围和程度，提出针对性防范措施。</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1" w:name="_Toc528929281"/>
      <w:r>
        <w:rPr>
          <w:rFonts w:hint="eastAsia" w:ascii="黑体" w:eastAsia="黑体"/>
          <w:b/>
          <w:snapToGrid w:val="0"/>
          <w:kern w:val="0"/>
          <w:sz w:val="28"/>
          <w:szCs w:val="28"/>
        </w:rPr>
        <w:t>十一、项目实施计划</w:t>
      </w:r>
      <w:bookmarkEnd w:id="11"/>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b/>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项目工程建设方案确定后，应研究提出项目的建设工期和实施进度方案，科学组织建设过程中各阶段的工作，安排工程进度和建设资金，保证项目按期建成投产，发挥投资效益。</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建设工期一般指从拟建项目永久性工程开工之日，到项目全面建成交付使用所需的全部时间。建设工期主要包括土建施工、设备采购与安装、设备调试、联合试运转、交付使用等阶段。项目建设工期可参照相关定额或同类项目经验，结合项目建设内容、工程量大小、建设难易程度，以及施工条件等具体情况综合研究确定。</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项目建设工期确定后，应根据工程实施各阶段工程量和所需时间，对时序做出大体安排，并编制项目实施进度表(横线图)。</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2" w:name="_Toc528929282"/>
      <w:r>
        <w:rPr>
          <w:rFonts w:hint="eastAsia" w:ascii="黑体" w:eastAsia="黑体"/>
          <w:b/>
          <w:snapToGrid w:val="0"/>
          <w:kern w:val="0"/>
          <w:sz w:val="28"/>
          <w:szCs w:val="28"/>
        </w:rPr>
        <w:t>十二、社会影响分析</w:t>
      </w:r>
      <w:bookmarkEnd w:id="12"/>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对于因征地拆迁等可能产生重要社会影响的项目，以及扶贫、区域综合开发、文化教育、公共卫生、社会民生等具有明显社会发展目标的项目，应在可行性研究阶段，从维护公共利益、构建和谐社会、落实以人为本的科学发展观等角度，进行社会影响分析评价。</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1、社会影响效果分析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阐述拟建项目的建设及运营活动对项目所在地可能产生的社会影响和社会效益。</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2、社会适应性分析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分析拟建项目能否为当地的社会环境、人文条件所接纳，评价该项目与当地社会环境的相互适应性，提出改进性方案。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3、社会稳定风险分析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重点针对拟建项目直接关系人民群众切实利益且涉及面广、容易引发社会稳定的问题，在风险调查、风险识别、风险估计、提出风险防范和化解措施、判断风险等级基础上，从合法性、合理性、可行性和可控性等方面进行分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社会稳定风险分析篇章的编写参照《国家发展改革委办公厅关于引发重大固定资产投资项目社会稳定风险分析篇章和评估报告编制大纲(试行)的通知》(发改办投资[2013]428号)。</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kern w:val="0"/>
          <w:sz w:val="28"/>
          <w:szCs w:val="28"/>
        </w:rPr>
      </w:pPr>
      <w:r>
        <w:rPr>
          <w:rFonts w:hint="eastAsia" w:ascii="仿宋_GB2312" w:hAnsi="华文中宋" w:eastAsia="仿宋_GB2312"/>
          <w:b/>
          <w:snapToGrid w:val="0"/>
          <w:kern w:val="0"/>
          <w:sz w:val="28"/>
          <w:szCs w:val="28"/>
        </w:rPr>
        <w:t>4、其他社会风险及对策分析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针对项目建设所涉及的其他社会因素进行社会风险分析，提出协调项目与当地社会关系、规避社会风险、促进项目顺利实施的措施方案。</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3" w:name="_Toc528929283"/>
      <w:r>
        <w:rPr>
          <w:rFonts w:hint="eastAsia" w:ascii="黑体" w:eastAsia="黑体"/>
          <w:b/>
          <w:snapToGrid w:val="0"/>
          <w:kern w:val="0"/>
          <w:sz w:val="28"/>
          <w:szCs w:val="28"/>
        </w:rPr>
        <w:t>十三、工程概算</w:t>
      </w:r>
      <w:bookmarkEnd w:id="13"/>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工程概算是在对项目的建设规模、总体方案、工程方案以及实施计划等进行研究并基本确定的基础上，估算项目投入总资金，并研究提出资金筹措方案。</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工程概算文件主要包括编制说明、总概算表、工程建设其他费用表、单项工程综合概算表、单位工程概算书等内容。</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color w:val="000000" w:themeColor="text1"/>
          <w:kern w:val="0"/>
          <w:sz w:val="28"/>
          <w:szCs w:val="28"/>
        </w:rPr>
      </w:pPr>
      <w:r>
        <w:rPr>
          <w:rFonts w:hint="eastAsia" w:ascii="仿宋_GB2312" w:hAnsi="华文中宋" w:eastAsia="仿宋_GB2312"/>
          <w:b/>
          <w:snapToGrid w:val="0"/>
          <w:color w:val="000000" w:themeColor="text1"/>
          <w:kern w:val="0"/>
          <w:sz w:val="28"/>
          <w:szCs w:val="28"/>
        </w:rPr>
        <w:t>1、概算编制说明</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包括工程概况、编制依据、编制范围、资金来源、其他特殊问题说明、概算成果说明等，其中：</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（1）工程概况：简述建设项目的建设地点、设计规模、建设性质和主要特征等。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2）编制依据：批准的相关文件，设计说明书及设计图纸，有关工程建设和造价管理的法律、法规和方针政策，使用的概算定额、指标、单位估价表、类似工程造价指标、工程费用定额和相关费用规定等文件，当地现行建设工程造价信息，有关文件、合同、协议等。</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（3）概算成果说明：说明概算的总金额、工程费用、工程建设其他费用、预备费及列入概算总投资中的相关费用，技术经济指标，主要材料消耗指标。</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color w:val="000000" w:themeColor="text1"/>
          <w:kern w:val="0"/>
          <w:sz w:val="28"/>
          <w:szCs w:val="28"/>
        </w:rPr>
      </w:pPr>
      <w:r>
        <w:rPr>
          <w:rFonts w:hint="eastAsia" w:ascii="仿宋_GB2312" w:hAnsi="华文中宋" w:eastAsia="仿宋_GB2312"/>
          <w:b/>
          <w:snapToGrid w:val="0"/>
          <w:color w:val="000000" w:themeColor="text1"/>
          <w:kern w:val="0"/>
          <w:sz w:val="28"/>
          <w:szCs w:val="28"/>
        </w:rPr>
        <w:t>2、总概算</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由工程费用、工程建设其他费用、预备费、建设期利息、流动资金、土地及房屋征收补偿费用和管线搬迁费用等组成。</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（1）工程费用，由各单项工程综合概算汇总组成。具体内容应达到住建部《建筑工程设计文件编制深度规定(2017年版)》中有关初步设计文件编制深度要求。</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2）工程建设其他费用，一般包含建设单位管理费、代建管理费、场地准备及临时设施费、前期工作咨询费(项目建议书编制费、可行性研究报告编制费、环境影响报告编制费、节能评估报告编制费、社会稳定风险评估报告编制费)、勘察设计费、工程监理费(含财务监理费)、工程量清单编制费、招标代理服务费、市政配套费等，应根据国家、市区和行业等有关规定计算，具体计列项目及内容可结合工程项目实际确定。</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（3）预备费，指基本预备费，以第一部分“工程费用”总值和第二部分“工程建设其他费用”总值之和为基数，乘以预备费费率计算，预备费费率按5%计取。</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（4）建设期利息和流动资金，可根据国家和相关行业有关规定、工程特点进行计算。</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（5）土地及房屋征收补偿费用，指对集体土地和国有土地上房屋的征收补偿费用，按照国家和本市有关规定测算。</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6）管线搬迁费用，指在项目实施范围内，因工程建设而影响到电力、通信、供水、燃气等市政公用管线的迁移费用。应在摸清现状各类合法管线情况的基础上，根据管线综合方案、搬迁设计方案、设计图纸和工程量清单，以及对应的定额和信息价编制工程概算(工程概算编制办法和基本要求参见前文)。</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napToGrid w:val="0"/>
          <w:kern w:val="0"/>
          <w:sz w:val="28"/>
          <w:szCs w:val="28"/>
        </w:rPr>
      </w:pPr>
      <w:r>
        <w:rPr>
          <w:rFonts w:ascii="黑体" w:eastAsia="黑体"/>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4" w:name="_Toc528929284"/>
      <w:r>
        <w:rPr>
          <w:rFonts w:hint="eastAsia" w:ascii="黑体" w:eastAsia="黑体"/>
          <w:b/>
          <w:snapToGrid w:val="0"/>
          <w:kern w:val="0"/>
          <w:sz w:val="28"/>
          <w:szCs w:val="28"/>
        </w:rPr>
        <w:t>十四、项目招标</w:t>
      </w:r>
      <w:bookmarkEnd w:id="14"/>
    </w:p>
    <w:p>
      <w:pPr>
        <w:keepNext w:val="0"/>
        <w:keepLines w:val="0"/>
        <w:pageBreakBefore w:val="0"/>
        <w:widowControl/>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对于依法必须进行招标的各类工程建设项目，必须在项目可行性研究阶段明确以下招标内容。</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1、建设项目的施工、监理以及重要设备、材料等采购活动的具体招标范围(全部或者部分招标)。</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2、建设项目的施工、监理以及重要设备、材料等采购活动拟采用的招标组织形式(委托招标或者自行招标)；拟自行招标的，还应按照《工程建设项目自行招标试行办法》(原国家计委令第5号)规定报告书面材料。</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3、建设项目的施工、监理以及重要设备、材料等采购活动拟采用的招标方式(公开招标或者邀请招标)；国家重点项目拟采用邀请招标的，应对采用邀请招标的理由做出说明。</w:t>
      </w:r>
    </w:p>
    <w:p>
      <w:pPr>
        <w:keepNext w:val="0"/>
        <w:keepLines w:val="0"/>
        <w:pageBreakBefore w:val="0"/>
        <w:widowControl/>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报送招标内容时应附招标基本情况表，相关具体要求可参见《工程建设项目可行性研究报告增加招标内容和核准招标事项暂行规定》(原国家计委令2001年第9号)和《国家发展改革委办公厅印发关于我委办理工程建设项目审批(核准)时核准招标内容的意见的通知》(发改办法规[2005]824号)。</w:t>
      </w:r>
    </w:p>
    <w:p>
      <w:pPr>
        <w:keepNext w:val="0"/>
        <w:keepLines w:val="0"/>
        <w:pageBreakBefore w:val="0"/>
        <w:widowControl/>
        <w:kinsoku/>
        <w:wordWrap/>
        <w:overflowPunct/>
        <w:topLinePunct w:val="0"/>
        <w:autoSpaceDE/>
        <w:autoSpaceDN/>
        <w:bidi w:val="0"/>
        <w:spacing w:line="420" w:lineRule="exact"/>
        <w:ind w:firstLine="560" w:firstLineChars="200"/>
        <w:textAlignment w:val="auto"/>
        <w:rPr>
          <w:rFonts w:ascii="仿宋_GB2312" w:eastAsia="仿宋_GB2312"/>
          <w:snapToGrid w:val="0"/>
          <w:kern w:val="0"/>
          <w:sz w:val="28"/>
          <w:szCs w:val="28"/>
        </w:rPr>
      </w:pPr>
      <w:r>
        <w:rPr>
          <w:rFonts w:ascii="仿宋_GB2312" w:eastAsia="仿宋_GB2312"/>
          <w:snapToGrid w:val="0"/>
          <w:kern w:val="0"/>
          <w:sz w:val="28"/>
          <w:szCs w:val="28"/>
        </w:rPr>
        <w:br w:type="page"/>
      </w:r>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outlineLvl w:val="0"/>
        <w:rPr>
          <w:rFonts w:ascii="黑体" w:eastAsia="黑体"/>
          <w:b/>
          <w:snapToGrid w:val="0"/>
          <w:kern w:val="0"/>
          <w:sz w:val="28"/>
          <w:szCs w:val="28"/>
        </w:rPr>
      </w:pPr>
      <w:bookmarkStart w:id="15" w:name="_Toc528929285"/>
      <w:r>
        <w:rPr>
          <w:rFonts w:hint="eastAsia" w:ascii="黑体" w:eastAsia="黑体"/>
          <w:b/>
          <w:snapToGrid w:val="0"/>
          <w:kern w:val="0"/>
          <w:sz w:val="28"/>
          <w:szCs w:val="28"/>
        </w:rPr>
        <w:t>十五、结论与建议</w:t>
      </w:r>
      <w:bookmarkEnd w:id="15"/>
    </w:p>
    <w:p>
      <w:pPr>
        <w:keepNext w:val="0"/>
        <w:keepLines w:val="0"/>
        <w:pageBreakBefore w:val="0"/>
        <w:kinsoku/>
        <w:wordWrap/>
        <w:overflowPunct/>
        <w:topLinePunct w:val="0"/>
        <w:autoSpaceDE/>
        <w:autoSpaceDN/>
        <w:bidi w:val="0"/>
        <w:adjustRightInd w:val="0"/>
        <w:snapToGrid w:val="0"/>
        <w:spacing w:beforeLines="50" w:afterLines="50" w:line="420" w:lineRule="exact"/>
        <w:jc w:val="center"/>
        <w:textAlignment w:val="auto"/>
        <w:rPr>
          <w:rFonts w:ascii="黑体" w:eastAsia="黑体"/>
          <w:snapToGrid w:val="0"/>
          <w:kern w:val="0"/>
          <w:sz w:val="28"/>
          <w:szCs w:val="28"/>
        </w:rPr>
      </w:pP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在上述各项研究论证的基础上，归纳总结，提出推荐方案，并对推荐方案进行总体评价，同时指出项目还可能存在的问题和主要风险，为决策者提供清晰的建议。</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color w:val="000000" w:themeColor="text1"/>
          <w:kern w:val="0"/>
          <w:sz w:val="28"/>
          <w:szCs w:val="28"/>
        </w:rPr>
      </w:pPr>
      <w:r>
        <w:rPr>
          <w:rFonts w:hint="eastAsia" w:ascii="仿宋_GB2312" w:hAnsi="华文中宋" w:eastAsia="仿宋_GB2312"/>
          <w:b/>
          <w:snapToGrid w:val="0"/>
          <w:color w:val="000000" w:themeColor="text1"/>
          <w:kern w:val="0"/>
          <w:sz w:val="28"/>
          <w:szCs w:val="28"/>
        </w:rPr>
        <w:t>1、主要研究结果描述</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简要描述工程的功能定位、技术标准、工程选址、建设内容、建设规模、总体方案、实施进度、社会影响评价、总投资及资金筹措等内容，对推荐方案应充分地、实事求是地反映在方案论证过程中提出的不同意见，阐述推荐方案存在的、有待解决的主要问题。</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2" w:firstLineChars="200"/>
        <w:textAlignment w:val="auto"/>
        <w:rPr>
          <w:rFonts w:ascii="仿宋_GB2312" w:hAnsi="华文中宋" w:eastAsia="仿宋_GB2312"/>
          <w:b/>
          <w:snapToGrid w:val="0"/>
          <w:color w:val="000000" w:themeColor="text1"/>
          <w:kern w:val="0"/>
          <w:sz w:val="28"/>
          <w:szCs w:val="28"/>
        </w:rPr>
      </w:pPr>
      <w:r>
        <w:rPr>
          <w:rFonts w:hint="eastAsia" w:ascii="仿宋_GB2312" w:hAnsi="华文中宋" w:eastAsia="仿宋_GB2312"/>
          <w:b/>
          <w:snapToGrid w:val="0"/>
          <w:color w:val="000000" w:themeColor="text1"/>
          <w:kern w:val="0"/>
          <w:sz w:val="28"/>
          <w:szCs w:val="28"/>
        </w:rPr>
        <w:t>2、结论与建议</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kern w:val="0"/>
          <w:sz w:val="28"/>
          <w:szCs w:val="28"/>
        </w:rPr>
        <w:t>通过对推荐方案的详细分析论证，明确提出项目和方案是否合理可行的结论意见，并对下一步工作提出建议，主要包括两方面内容：</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color w:val="000000" w:themeColor="text1"/>
          <w:kern w:val="0"/>
          <w:sz w:val="28"/>
          <w:szCs w:val="28"/>
        </w:rPr>
        <w:t>（1）</w:t>
      </w:r>
      <w:r>
        <w:rPr>
          <w:rFonts w:hint="eastAsia" w:ascii="仿宋_GB2312" w:eastAsia="仿宋_GB2312"/>
          <w:snapToGrid w:val="0"/>
          <w:kern w:val="0"/>
          <w:sz w:val="28"/>
          <w:szCs w:val="28"/>
        </w:rPr>
        <w:t>对项目下一步工作的重要意见和建议。例如，建设实施中需要引起重视的问题和工作安排的意见、建议。</w:t>
      </w:r>
    </w:p>
    <w:p>
      <w:pPr>
        <w:keepNext w:val="0"/>
        <w:keepLines w:val="0"/>
        <w:pageBreakBefore w:val="0"/>
        <w:kinsoku/>
        <w:wordWrap/>
        <w:overflowPunct/>
        <w:topLinePunct w:val="0"/>
        <w:autoSpaceDE/>
        <w:autoSpaceDN/>
        <w:bidi w:val="0"/>
        <w:adjustRightInd w:val="0"/>
        <w:snapToGrid w:val="0"/>
        <w:spacing w:beforeLines="50" w:afterLines="50" w:line="420" w:lineRule="exact"/>
        <w:ind w:firstLine="560" w:firstLineChars="200"/>
        <w:textAlignment w:val="auto"/>
        <w:rPr>
          <w:rFonts w:ascii="仿宋_GB2312" w:eastAsia="仿宋_GB2312"/>
          <w:snapToGrid w:val="0"/>
          <w:kern w:val="0"/>
          <w:sz w:val="28"/>
          <w:szCs w:val="28"/>
        </w:rPr>
      </w:pPr>
      <w:r>
        <w:rPr>
          <w:rFonts w:hint="eastAsia" w:ascii="仿宋_GB2312" w:eastAsia="仿宋_GB2312"/>
          <w:snapToGrid w:val="0"/>
          <w:color w:val="000000" w:themeColor="text1"/>
          <w:kern w:val="0"/>
          <w:sz w:val="28"/>
          <w:szCs w:val="28"/>
        </w:rPr>
        <w:t>（2）</w:t>
      </w:r>
      <w:r>
        <w:rPr>
          <w:rFonts w:hint="eastAsia" w:ascii="仿宋_GB2312" w:eastAsia="仿宋_GB2312"/>
          <w:snapToGrid w:val="0"/>
          <w:kern w:val="0"/>
          <w:sz w:val="28"/>
          <w:szCs w:val="28"/>
        </w:rPr>
        <w:t>项目实施中需要协调解决的问题和相应意见、建议。</w:t>
      </w:r>
    </w:p>
    <w:p>
      <w:pPr>
        <w:keepNext w:val="0"/>
        <w:keepLines w:val="0"/>
        <w:pageBreakBefore w:val="0"/>
        <w:widowControl/>
        <w:kinsoku/>
        <w:wordWrap/>
        <w:overflowPunct/>
        <w:topLinePunct w:val="0"/>
        <w:autoSpaceDE/>
        <w:autoSpaceDN/>
        <w:bidi w:val="0"/>
        <w:spacing w:line="420" w:lineRule="exact"/>
        <w:jc w:val="left"/>
        <w:textAlignment w:val="auto"/>
        <w:rPr>
          <w:rFonts w:ascii="仿宋_GB2312" w:eastAsia="仿宋_GB2312"/>
          <w:snapToGrid w:val="0"/>
          <w:kern w:val="0"/>
          <w:sz w:val="28"/>
          <w:szCs w:val="28"/>
        </w:rPr>
      </w:pPr>
    </w:p>
    <w:p>
      <w:pPr>
        <w:keepNext w:val="0"/>
        <w:keepLines w:val="0"/>
        <w:pageBreakBefore w:val="0"/>
        <w:widowControl/>
        <w:kinsoku/>
        <w:wordWrap/>
        <w:overflowPunct/>
        <w:topLinePunct w:val="0"/>
        <w:autoSpaceDE/>
        <w:autoSpaceDN/>
        <w:bidi w:val="0"/>
        <w:spacing w:line="420" w:lineRule="exact"/>
        <w:jc w:val="left"/>
        <w:textAlignment w:val="auto"/>
        <w:rPr>
          <w:rFonts w:ascii="仿宋_GB2312" w:eastAsia="仿宋_GB2312"/>
          <w:snapToGrid w:val="0"/>
          <w:kern w:val="0"/>
          <w:sz w:val="28"/>
          <w:szCs w:val="28"/>
        </w:rPr>
        <w:sectPr>
          <w:footerReference r:id="rId7" w:type="first"/>
          <w:footerReference r:id="rId6" w:type="default"/>
          <w:pgSz w:w="11906" w:h="16838"/>
          <w:pgMar w:top="2041" w:right="1474" w:bottom="1871" w:left="2098" w:header="851" w:footer="992" w:gutter="0"/>
          <w:pgNumType w:start="1"/>
          <w:cols w:space="425" w:num="1"/>
          <w:titlePg/>
          <w:docGrid w:linePitch="312" w:charSpace="0"/>
        </w:sectPr>
      </w:pP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ascii="黑体" w:eastAsia="黑体"/>
          <w:b/>
          <w:snapToGrid w:val="0"/>
          <w:kern w:val="0"/>
          <w:sz w:val="21"/>
          <w:szCs w:val="21"/>
        </w:rPr>
      </w:pPr>
      <w:r>
        <w:rPr>
          <w:rFonts w:hint="eastAsia" w:ascii="黑体" w:eastAsia="黑体"/>
          <w:b/>
          <w:snapToGrid w:val="0"/>
          <w:kern w:val="0"/>
          <w:sz w:val="21"/>
          <w:szCs w:val="21"/>
        </w:rPr>
        <w:t>附录：</w:t>
      </w:r>
      <w:r>
        <w:rPr>
          <w:rFonts w:ascii="黑体" w:eastAsia="黑体"/>
          <w:b/>
          <w:snapToGrid w:val="0"/>
          <w:kern w:val="0"/>
          <w:sz w:val="21"/>
          <w:szCs w:val="21"/>
        </w:rPr>
        <w:t>建筑工程</w:t>
      </w:r>
      <w:r>
        <w:rPr>
          <w:rFonts w:hint="eastAsia" w:ascii="黑体" w:eastAsia="黑体"/>
          <w:b/>
          <w:snapToGrid w:val="0"/>
          <w:kern w:val="0"/>
          <w:sz w:val="21"/>
          <w:szCs w:val="21"/>
        </w:rPr>
        <w:t>建设项目工程方案初步</w:t>
      </w:r>
      <w:r>
        <w:rPr>
          <w:rFonts w:ascii="黑体" w:eastAsia="黑体"/>
          <w:b/>
          <w:snapToGrid w:val="0"/>
          <w:kern w:val="0"/>
          <w:sz w:val="21"/>
          <w:szCs w:val="21"/>
        </w:rPr>
        <w:t>设计文件编制</w:t>
      </w:r>
      <w:r>
        <w:rPr>
          <w:rFonts w:hint="eastAsia" w:ascii="黑体" w:eastAsia="黑体"/>
          <w:b/>
          <w:snapToGrid w:val="0"/>
          <w:kern w:val="0"/>
          <w:sz w:val="21"/>
          <w:szCs w:val="21"/>
        </w:rPr>
        <w:t>要求</w:t>
      </w:r>
    </w:p>
    <w:p>
      <w:pPr>
        <w:pStyle w:val="20"/>
        <w:keepNext w:val="0"/>
        <w:keepLines w:val="0"/>
        <w:pageBreakBefore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lang w:bidi="en-US"/>
        </w:rPr>
      </w:pPr>
      <w:r>
        <w:rPr>
          <w:rFonts w:hint="eastAsia" w:ascii="华文中宋" w:hAnsi="华文中宋" w:eastAsia="华文中宋" w:cs="Times New Roman"/>
          <w:snapToGrid w:val="0"/>
          <w:kern w:val="0"/>
          <w:sz w:val="21"/>
          <w:szCs w:val="21"/>
          <w:lang w:bidi="en-US"/>
        </w:rPr>
        <w:t>一、总平面</w:t>
      </w:r>
    </w:p>
    <w:p>
      <w:pPr>
        <w:pStyle w:val="20"/>
        <w:keepNext w:val="0"/>
        <w:keepLines w:val="0"/>
        <w:pageBreakBefore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eastAsia="仿宋_GB2312"/>
          <w:b/>
          <w:snapToGrid w:val="0"/>
          <w:kern w:val="0"/>
          <w:sz w:val="21"/>
          <w:szCs w:val="21"/>
        </w:rPr>
      </w:pPr>
      <w:r>
        <w:rPr>
          <w:rFonts w:ascii="仿宋_GB2312" w:eastAsia="仿宋_GB2312"/>
          <w:b/>
          <w:snapToGrid w:val="0"/>
          <w:color w:val="000000"/>
          <w:kern w:val="0"/>
          <w:sz w:val="21"/>
          <w:szCs w:val="21"/>
          <w:lang w:bidi="en-US"/>
        </w:rPr>
        <w:t>(一)</w:t>
      </w:r>
      <w:r>
        <w:rPr>
          <w:rFonts w:hint="eastAsia" w:ascii="仿宋_GB2312" w:eastAsia="仿宋_GB2312"/>
          <w:b/>
          <w:snapToGrid w:val="0"/>
          <w:color w:val="000000"/>
          <w:kern w:val="0"/>
          <w:sz w:val="21"/>
          <w:szCs w:val="21"/>
          <w:lang w:val="zh-TW" w:eastAsia="zh-TW" w:bidi="zh-TW"/>
        </w:rPr>
        <w:t>设计说明书。</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设计依据及基础资料。</w:t>
      </w:r>
    </w:p>
    <w:p>
      <w:pPr>
        <w:pStyle w:val="20"/>
        <w:keepNext w:val="0"/>
        <w:keepLines w:val="0"/>
        <w:pageBreakBefore w:val="0"/>
        <w:numPr>
          <w:ilvl w:val="0"/>
          <w:numId w:val="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摘述方案</w:t>
      </w:r>
      <w:r>
        <w:rPr>
          <w:rFonts w:hint="eastAsia" w:ascii="仿宋_GB2312" w:eastAsia="仿宋_GB2312"/>
          <w:snapToGrid w:val="0"/>
          <w:color w:val="000000"/>
          <w:kern w:val="0"/>
          <w:sz w:val="21"/>
          <w:szCs w:val="21"/>
          <w:lang w:val="zh-TW" w:eastAsia="zh-TW" w:bidi="zh-TW"/>
        </w:rPr>
        <w:t>设计依据资料及批示中与本专业有关的主要内容</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有</w:t>
      </w:r>
      <w:r>
        <w:rPr>
          <w:rFonts w:hint="eastAsia" w:ascii="仿宋_GB2312" w:eastAsia="仿宋_GB2312"/>
          <w:snapToGrid w:val="0"/>
          <w:color w:val="000000"/>
          <w:kern w:val="0"/>
          <w:sz w:val="21"/>
          <w:szCs w:val="21"/>
          <w:lang w:val="zh-TW" w:eastAsia="zh-TW" w:bidi="zh-TW"/>
        </w:rPr>
        <w:t>关主管部门对本工程批示的规划许可技术条件（用地性质、道路红线、建筑控制线、城市绿线、用地红线、建筑物控制高度、建筑退让各类控制线距离、容积率、建筑密度、绿地率、日照标准、高压走廊、出入口位置、停车泊位数等</w:t>
      </w:r>
      <w:r>
        <w:rPr>
          <w:rFonts w:ascii="仿宋_GB2312" w:eastAsia="仿宋_GB2312"/>
          <w:snapToGrid w:val="0"/>
          <w:color w:val="000000"/>
          <w:kern w:val="0"/>
          <w:sz w:val="21"/>
          <w:szCs w:val="21"/>
          <w:lang w:val="zh-TW" w:eastAsia="zh-TW" w:bidi="zh-TW"/>
        </w:rPr>
        <w:t>)，以及</w:t>
      </w:r>
      <w:r>
        <w:rPr>
          <w:rFonts w:hint="eastAsia" w:ascii="仿宋_GB2312" w:eastAsia="仿宋_GB2312"/>
          <w:snapToGrid w:val="0"/>
          <w:color w:val="000000"/>
          <w:kern w:val="0"/>
          <w:sz w:val="21"/>
          <w:szCs w:val="21"/>
          <w:lang w:val="zh-TW" w:eastAsia="zh-TW" w:bidi="zh-TW"/>
        </w:rPr>
        <w:t>对总平面布局、周围环境、空间处理、交通组织、环境保护、文物保护、分期建设等方面的特殊要求</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本工程地形</w:t>
      </w:r>
      <w:r>
        <w:rPr>
          <w:rFonts w:hint="eastAsia" w:ascii="仿宋_GB2312" w:eastAsia="仿宋_GB2312"/>
          <w:snapToGrid w:val="0"/>
          <w:color w:val="000000"/>
          <w:kern w:val="0"/>
          <w:sz w:val="21"/>
          <w:szCs w:val="21"/>
          <w:lang w:val="zh-TW" w:eastAsia="zh-TW" w:bidi="zh-TW"/>
        </w:rPr>
        <w:t>图编制单位、日期，采用的坐标、高程系统</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color w:val="000000"/>
          <w:kern w:val="0"/>
          <w:sz w:val="21"/>
          <w:szCs w:val="21"/>
          <w:lang w:val="zh-TW" w:eastAsia="zh-TW" w:bidi="zh-TW"/>
        </w:rPr>
      </w:pPr>
      <w:r>
        <w:rPr>
          <w:rFonts w:hint="eastAsia" w:ascii="仿宋_GB2312" w:eastAsia="仿宋_GB2312"/>
          <w:snapToGrid w:val="0"/>
          <w:color w:val="000000"/>
          <w:kern w:val="0"/>
          <w:sz w:val="21"/>
          <w:szCs w:val="21"/>
          <w:lang w:val="zh-TW" w:eastAsia="zh-TW" w:bidi="zh-TW"/>
        </w:rPr>
        <w:t>场地概述。</w:t>
      </w:r>
    </w:p>
    <w:p>
      <w:pPr>
        <w:pStyle w:val="20"/>
        <w:keepNext w:val="0"/>
        <w:keepLines w:val="0"/>
        <w:pageBreakBefore w:val="0"/>
        <w:numPr>
          <w:ilvl w:val="0"/>
          <w:numId w:val="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说明场地所在地的名称及在城市中的位置</w:t>
      </w:r>
      <w:r>
        <w:rPr>
          <w:rFonts w:ascii="仿宋_GB2312" w:eastAsia="仿宋_GB2312"/>
          <w:snapToGrid w:val="0"/>
          <w:color w:val="000000"/>
          <w:kern w:val="0"/>
          <w:sz w:val="21"/>
          <w:szCs w:val="21"/>
          <w:lang w:val="zh-TW" w:eastAsia="zh-TW" w:bidi="zh-TW"/>
        </w:rPr>
        <w:t>(落</w:t>
      </w:r>
      <w:r>
        <w:rPr>
          <w:rFonts w:hint="eastAsia" w:ascii="仿宋_GB2312" w:eastAsia="仿宋_GB2312"/>
          <w:snapToGrid w:val="0"/>
          <w:color w:val="000000"/>
          <w:kern w:val="0"/>
          <w:sz w:val="21"/>
          <w:szCs w:val="21"/>
          <w:lang w:val="zh-TW" w:eastAsia="zh-TW" w:bidi="zh-TW"/>
        </w:rPr>
        <w:t>实到乡镇区一级</w:t>
      </w:r>
      <w:r>
        <w:rPr>
          <w:rFonts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val="zh-TW" w:eastAsia="zh-TW" w:bidi="zh-TW"/>
        </w:rPr>
        <w:t>简述周围自然与人文环境、道路、市政基础设施与公共服务设施配套和供应情况，以及四邻原有和规划的重要建筑物与构筑物</w:t>
      </w:r>
      <w:r>
        <w:rPr>
          <w:rFonts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bidi="en-US"/>
        </w:rPr>
        <w:t>。</w:t>
      </w:r>
    </w:p>
    <w:p>
      <w:pPr>
        <w:pStyle w:val="20"/>
        <w:keepNext w:val="0"/>
        <w:keepLines w:val="0"/>
        <w:pageBreakBefore w:val="0"/>
        <w:numPr>
          <w:ilvl w:val="0"/>
          <w:numId w:val="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概述</w:t>
      </w:r>
      <w:r>
        <w:rPr>
          <w:rFonts w:hint="eastAsia" w:ascii="仿宋_GB2312" w:eastAsia="仿宋_GB2312"/>
          <w:snapToGrid w:val="0"/>
          <w:color w:val="000000"/>
          <w:kern w:val="0"/>
          <w:sz w:val="21"/>
          <w:szCs w:val="21"/>
          <w:lang w:val="zh-TW" w:eastAsia="zh-TW" w:bidi="zh-TW"/>
        </w:rPr>
        <w:t>场地地形地貌（如山丘范围、高度，水域的位置、流向、水深，最高最低标高、总坡向、最大坡度和一般坡度等地貌特征</w:t>
      </w:r>
      <w:r>
        <w:rPr>
          <w:rFonts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bidi="en-US"/>
        </w:rPr>
        <w:t>。</w:t>
      </w:r>
    </w:p>
    <w:p>
      <w:pPr>
        <w:pStyle w:val="20"/>
        <w:keepNext w:val="0"/>
        <w:keepLines w:val="0"/>
        <w:pageBreakBefore w:val="0"/>
        <w:numPr>
          <w:ilvl w:val="0"/>
          <w:numId w:val="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描述</w:t>
      </w:r>
      <w:r>
        <w:rPr>
          <w:rFonts w:hint="eastAsia" w:ascii="仿宋_GB2312" w:eastAsia="仿宋_GB2312"/>
          <w:snapToGrid w:val="0"/>
          <w:color w:val="000000"/>
          <w:kern w:val="0"/>
          <w:sz w:val="21"/>
          <w:szCs w:val="21"/>
          <w:lang w:val="zh-TW" w:eastAsia="zh-TW" w:bidi="zh-TW"/>
        </w:rPr>
        <w:t>场地内原有建筑物、构筑物，以及保留（包括名木、古迹、地形、植被等</w:t>
      </w:r>
      <w:r>
        <w:rPr>
          <w:rFonts w:ascii="仿宋_GB2312" w:eastAsia="仿宋_GB2312"/>
          <w:snapToGrid w:val="0"/>
          <w:color w:val="000000"/>
          <w:kern w:val="0"/>
          <w:sz w:val="21"/>
          <w:szCs w:val="21"/>
          <w:lang w:val="zh-TW" w:eastAsia="zh-TW" w:bidi="zh-TW"/>
        </w:rPr>
        <w:t>)、拆除的情</w:t>
      </w:r>
      <w:r>
        <w:rPr>
          <w:rFonts w:hint="eastAsia" w:ascii="仿宋_GB2312" w:eastAsia="仿宋_GB2312"/>
          <w:snapToGrid w:val="0"/>
          <w:color w:val="000000"/>
          <w:kern w:val="0"/>
          <w:sz w:val="21"/>
          <w:szCs w:val="21"/>
          <w:lang w:val="zh-TW" w:eastAsia="zh-TW" w:bidi="zh-TW"/>
        </w:rPr>
        <w:t>况</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摘述与</w:t>
      </w:r>
      <w:r>
        <w:rPr>
          <w:rFonts w:hint="eastAsia" w:ascii="仿宋_GB2312" w:eastAsia="仿宋_GB2312"/>
          <w:snapToGrid w:val="0"/>
          <w:color w:val="000000"/>
          <w:kern w:val="0"/>
          <w:sz w:val="21"/>
          <w:szCs w:val="21"/>
          <w:lang w:val="zh-TW" w:eastAsia="zh-TW" w:bidi="zh-TW"/>
        </w:rPr>
        <w:t>总平面设计有关的不利自然因素，如地震、湿陷性或胀缩性土、地裂缝、岩溶、滑坡、地下水位标高与其他地质灾害。</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color w:val="000000"/>
          <w:kern w:val="0"/>
          <w:sz w:val="21"/>
          <w:szCs w:val="21"/>
          <w:lang w:val="zh-TW" w:eastAsia="zh-TW" w:bidi="zh-TW"/>
        </w:rPr>
      </w:pPr>
      <w:r>
        <w:rPr>
          <w:rFonts w:hint="eastAsia" w:ascii="仿宋_GB2312" w:eastAsia="仿宋_GB2312"/>
          <w:snapToGrid w:val="0"/>
          <w:color w:val="000000"/>
          <w:kern w:val="0"/>
          <w:sz w:val="21"/>
          <w:szCs w:val="21"/>
          <w:lang w:val="zh-TW" w:eastAsia="zh-TW" w:bidi="zh-TW"/>
        </w:rPr>
        <w:t>总平面布置。</w:t>
      </w:r>
    </w:p>
    <w:p>
      <w:pPr>
        <w:pStyle w:val="20"/>
        <w:keepNext w:val="0"/>
        <w:keepLines w:val="0"/>
        <w:pageBreakBefore w:val="0"/>
        <w:numPr>
          <w:ilvl w:val="0"/>
          <w:numId w:val="4"/>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总平面设计构思及指导思想，说明如何结合自然环境和地域文脉，综合考虑地形、地质、日照、通风、防火、卫生、交通及环境保护等要求进行总体布局，使其满足使用功能、城市规划要求以及技术安全、经济合理性、节能、节地、节水、节材等要求。</w:t>
      </w:r>
    </w:p>
    <w:p>
      <w:pPr>
        <w:pStyle w:val="20"/>
        <w:keepNext w:val="0"/>
        <w:keepLines w:val="0"/>
        <w:pageBreakBefore w:val="0"/>
        <w:numPr>
          <w:ilvl w:val="0"/>
          <w:numId w:val="4"/>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说明功能分区、远近期结合、预留发展用地的设想</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4"/>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说明建筑空间组织及其与四周环境的关系</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4"/>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说明环境景观和绿地布置及其功能性、观赏性等</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4"/>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说明无障碍设施的布置。</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color w:val="000000"/>
          <w:kern w:val="0"/>
          <w:sz w:val="21"/>
          <w:szCs w:val="21"/>
          <w:lang w:val="zh-TW" w:eastAsia="zh-TW" w:bidi="zh-TW"/>
        </w:rPr>
      </w:pPr>
      <w:r>
        <w:rPr>
          <w:rFonts w:hint="eastAsia" w:ascii="仿宋_GB2312" w:eastAsia="仿宋_GB2312"/>
          <w:snapToGrid w:val="0"/>
          <w:color w:val="000000"/>
          <w:kern w:val="0"/>
          <w:sz w:val="21"/>
          <w:szCs w:val="21"/>
          <w:lang w:val="zh-TW" w:eastAsia="zh-TW" w:bidi="zh-TW"/>
        </w:rPr>
        <w:t>竖向设计。</w:t>
      </w:r>
    </w:p>
    <w:p>
      <w:pPr>
        <w:pStyle w:val="20"/>
        <w:keepNext w:val="0"/>
        <w:keepLines w:val="0"/>
        <w:pageBreakBefore w:val="0"/>
        <w:numPr>
          <w:ilvl w:val="0"/>
          <w:numId w:val="5"/>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说明竖向设计的依据（如城市道路和管道的标高、地形、排水、最高洪水位、最高潮水位、土方平衡等情况</w:t>
      </w:r>
      <w:r>
        <w:rPr>
          <w:rFonts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bidi="en-US"/>
        </w:rPr>
        <w:t>。</w:t>
      </w:r>
    </w:p>
    <w:p>
      <w:pPr>
        <w:pStyle w:val="20"/>
        <w:keepNext w:val="0"/>
        <w:keepLines w:val="0"/>
        <w:pageBreakBefore w:val="0"/>
        <w:numPr>
          <w:ilvl w:val="0"/>
          <w:numId w:val="5"/>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说明如何利用地形，综合考虑功能、安全、景观、排水等要求进行竖向布置；说明竖向布置方式（平坡式或台阶式</w:t>
      </w:r>
      <w:r>
        <w:rPr>
          <w:rFonts w:ascii="仿宋_GB2312" w:eastAsia="仿宋_GB2312"/>
          <w:snapToGrid w:val="0"/>
          <w:color w:val="000000"/>
          <w:kern w:val="0"/>
          <w:sz w:val="21"/>
          <w:szCs w:val="21"/>
          <w:lang w:val="zh-TW" w:eastAsia="zh-TW" w:bidi="zh-TW"/>
        </w:rPr>
        <w:t>)、地表雨水的收集利用及排除方式（明</w:t>
      </w:r>
      <w:r>
        <w:rPr>
          <w:rFonts w:hint="eastAsia" w:ascii="仿宋_GB2312" w:eastAsia="仿宋_GB2312"/>
          <w:snapToGrid w:val="0"/>
          <w:color w:val="000000"/>
          <w:kern w:val="0"/>
          <w:sz w:val="21"/>
          <w:szCs w:val="21"/>
          <w:lang w:val="zh-TW" w:eastAsia="zh-TW" w:bidi="zh-TW"/>
        </w:rPr>
        <w:t>沟或暗管）等；如采用明沟系统，还应阐述其排放地点的地形与高程等情况</w:t>
      </w:r>
      <w:r>
        <w:rPr>
          <w:rFonts w:hint="eastAsia" w:ascii="仿宋_GB2312" w:eastAsia="仿宋_GB2312"/>
          <w:snapToGrid w:val="0"/>
          <w:color w:val="000000"/>
          <w:kern w:val="0"/>
          <w:sz w:val="21"/>
          <w:szCs w:val="21"/>
          <w:lang w:val="zh-TW" w:bidi="zh-TW"/>
        </w:rPr>
        <w:t>。</w:t>
      </w:r>
      <w:r>
        <w:rPr>
          <w:rFonts w:ascii="仿宋_GB2312" w:eastAsia="仿宋_GB2312"/>
          <w:snapToGrid w:val="0"/>
          <w:color w:val="000000"/>
          <w:kern w:val="0"/>
          <w:sz w:val="21"/>
          <w:szCs w:val="21"/>
          <w:lang w:val="zh-TW" w:eastAsia="zh-TW" w:bidi="zh-TW"/>
        </w:rPr>
        <w:t>根据需要注明初平土石方工程量</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5"/>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防</w:t>
      </w:r>
      <w:r>
        <w:rPr>
          <w:rFonts w:hint="eastAsia" w:ascii="仿宋_GB2312" w:eastAsia="仿宋_GB2312"/>
          <w:snapToGrid w:val="0"/>
          <w:color w:val="000000"/>
          <w:kern w:val="0"/>
          <w:sz w:val="21"/>
          <w:szCs w:val="21"/>
          <w:lang w:val="zh-TW" w:eastAsia="zh-TW" w:bidi="zh-TW"/>
        </w:rPr>
        <w:t>灾措施，如针对洪水、内涝、滑坡、潮汐及特殊工程地质（湿陷性或膨胀性土</w:t>
      </w:r>
      <w:r>
        <w:rPr>
          <w:rFonts w:ascii="仿宋_GB2312" w:eastAsia="仿宋_GB2312"/>
          <w:snapToGrid w:val="0"/>
          <w:color w:val="000000"/>
          <w:kern w:val="0"/>
          <w:sz w:val="21"/>
          <w:szCs w:val="21"/>
          <w:lang w:bidi="en-US"/>
        </w:rPr>
        <w:t>)</w:t>
      </w:r>
      <w:r>
        <w:rPr>
          <w:rFonts w:ascii="仿宋_GB2312" w:eastAsia="仿宋_GB2312"/>
          <w:snapToGrid w:val="0"/>
          <w:color w:val="000000"/>
          <w:kern w:val="0"/>
          <w:sz w:val="21"/>
          <w:szCs w:val="21"/>
          <w:lang w:val="zh-TW" w:eastAsia="zh-TW" w:bidi="zh-TW"/>
        </w:rPr>
        <w:t>等的技</w:t>
      </w:r>
      <w:r>
        <w:rPr>
          <w:rFonts w:hint="eastAsia" w:ascii="仿宋_GB2312" w:eastAsia="仿宋_GB2312"/>
          <w:snapToGrid w:val="0"/>
          <w:color w:val="000000"/>
          <w:kern w:val="0"/>
          <w:sz w:val="21"/>
          <w:szCs w:val="21"/>
          <w:lang w:val="zh-TW" w:eastAsia="zh-TW" w:bidi="zh-TW"/>
        </w:rPr>
        <w:t>术措施。</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color w:val="000000"/>
          <w:kern w:val="0"/>
          <w:sz w:val="21"/>
          <w:szCs w:val="21"/>
          <w:lang w:val="zh-TW" w:eastAsia="zh-TW" w:bidi="zh-TW"/>
        </w:rPr>
      </w:pPr>
      <w:r>
        <w:rPr>
          <w:rFonts w:ascii="仿宋_GB2312" w:eastAsia="仿宋_GB2312"/>
          <w:snapToGrid w:val="0"/>
          <w:color w:val="000000"/>
          <w:kern w:val="0"/>
          <w:sz w:val="21"/>
          <w:szCs w:val="21"/>
          <w:lang w:val="zh-TW" w:eastAsia="zh-TW" w:bidi="zh-TW"/>
        </w:rPr>
        <w:t>交通</w:t>
      </w:r>
      <w:r>
        <w:rPr>
          <w:rFonts w:hint="eastAsia" w:ascii="仿宋_GB2312" w:eastAsia="仿宋_GB2312"/>
          <w:snapToGrid w:val="0"/>
          <w:color w:val="000000"/>
          <w:kern w:val="0"/>
          <w:sz w:val="21"/>
          <w:szCs w:val="21"/>
          <w:lang w:val="zh-TW" w:eastAsia="zh-TW" w:bidi="zh-TW"/>
        </w:rPr>
        <w:t>组织。</w:t>
      </w:r>
    </w:p>
    <w:p>
      <w:pPr>
        <w:pStyle w:val="20"/>
        <w:keepNext w:val="0"/>
        <w:keepLines w:val="0"/>
        <w:pageBreakBefore w:val="0"/>
        <w:numPr>
          <w:ilvl w:val="0"/>
          <w:numId w:val="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说明与城市道路的关系。</w:t>
      </w:r>
    </w:p>
    <w:p>
      <w:pPr>
        <w:pStyle w:val="20"/>
        <w:keepNext w:val="0"/>
        <w:keepLines w:val="0"/>
        <w:pageBreakBefore w:val="0"/>
        <w:numPr>
          <w:ilvl w:val="0"/>
          <w:numId w:val="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说明基地人流和车流的组织、路网结构、出入口、停车场（库）的布置及停车数量的确定</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消防</w:t>
      </w:r>
      <w:r>
        <w:rPr>
          <w:rFonts w:hint="eastAsia" w:ascii="仿宋_GB2312" w:eastAsia="仿宋_GB2312"/>
          <w:snapToGrid w:val="0"/>
          <w:color w:val="000000"/>
          <w:kern w:val="0"/>
          <w:sz w:val="21"/>
          <w:szCs w:val="21"/>
          <w:lang w:val="zh-TW" w:eastAsia="zh-TW" w:bidi="zh-TW"/>
        </w:rPr>
        <w:t>车道及高层建筑消防扑救场地的布置</w:t>
      </w:r>
      <w:r>
        <w:rPr>
          <w:rFonts w:hint="eastAsia" w:ascii="仿宋_GB2312" w:eastAsia="仿宋_GB2312"/>
          <w:snapToGrid w:val="0"/>
          <w:color w:val="000000"/>
          <w:kern w:val="0"/>
          <w:sz w:val="21"/>
          <w:szCs w:val="21"/>
          <w:lang w:val="zh-TW" w:bidi="zh-TW"/>
        </w:rPr>
        <w:t>。</w:t>
      </w:r>
    </w:p>
    <w:p>
      <w:pPr>
        <w:pStyle w:val="20"/>
        <w:keepNext w:val="0"/>
        <w:keepLines w:val="0"/>
        <w:pageBreakBefore w:val="0"/>
        <w:numPr>
          <w:ilvl w:val="0"/>
          <w:numId w:val="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说明道路主要的设计技术条件（如主干道和次干道的路面宽度、路面类型、最大</w:t>
      </w:r>
      <w:r>
        <w:rPr>
          <w:rFonts w:ascii="仿宋_GB2312" w:eastAsia="仿宋_GB2312"/>
          <w:snapToGrid w:val="0"/>
          <w:kern w:val="0"/>
          <w:sz w:val="21"/>
          <w:szCs w:val="21"/>
        </w:rPr>
        <w:t>及最小</w:t>
      </w:r>
      <w:r>
        <w:rPr>
          <w:rFonts w:hint="eastAsia" w:ascii="仿宋_GB2312" w:eastAsia="仿宋_GB2312"/>
          <w:snapToGrid w:val="0"/>
          <w:kern w:val="0"/>
          <w:sz w:val="21"/>
          <w:szCs w:val="21"/>
        </w:rPr>
        <w:t>纵坡等）。</w:t>
      </w:r>
    </w:p>
    <w:p>
      <w:pPr>
        <w:pStyle w:val="20"/>
        <w:keepNext w:val="0"/>
        <w:keepLines w:val="0"/>
        <w:pageBreakBefore w:val="0"/>
        <w:numPr>
          <w:ilvl w:val="0"/>
          <w:numId w:val="1"/>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color w:val="000000"/>
          <w:kern w:val="0"/>
          <w:sz w:val="21"/>
          <w:szCs w:val="21"/>
          <w:lang w:val="zh-TW" w:eastAsia="zh-TW" w:bidi="zh-TW"/>
        </w:rPr>
      </w:pPr>
      <w:r>
        <w:rPr>
          <w:rFonts w:ascii="仿宋_GB2312" w:eastAsia="仿宋_GB2312"/>
          <w:snapToGrid w:val="0"/>
          <w:color w:val="000000"/>
          <w:kern w:val="0"/>
          <w:sz w:val="21"/>
          <w:szCs w:val="21"/>
          <w:lang w:val="zh-TW" w:eastAsia="zh-TW" w:bidi="zh-TW"/>
        </w:rPr>
        <w:t>主要技</w:t>
      </w:r>
      <w:r>
        <w:rPr>
          <w:rFonts w:hint="eastAsia" w:ascii="仿宋_GB2312" w:eastAsia="仿宋_GB2312"/>
          <w:snapToGrid w:val="0"/>
          <w:color w:val="000000"/>
          <w:kern w:val="0"/>
          <w:sz w:val="21"/>
          <w:szCs w:val="21"/>
          <w:lang w:val="zh-TW" w:eastAsia="zh-TW" w:bidi="zh-TW"/>
        </w:rPr>
        <w:t>术经济指标表</w:t>
      </w:r>
    </w:p>
    <w:p>
      <w:pPr>
        <w:pStyle w:val="20"/>
        <w:shd w:val="clear" w:color="auto" w:fill="auto"/>
        <w:adjustRightInd w:val="0"/>
        <w:snapToGrid w:val="0"/>
        <w:spacing w:line="440" w:lineRule="exact"/>
        <w:ind w:firstLine="0"/>
        <w:jc w:val="center"/>
        <w:rPr>
          <w:rFonts w:ascii="仿宋_GB2312" w:eastAsia="仿宋_GB2312"/>
          <w:snapToGrid w:val="0"/>
          <w:color w:val="000000"/>
          <w:kern w:val="0"/>
          <w:sz w:val="28"/>
          <w:szCs w:val="28"/>
          <w:lang w:val="zh-TW" w:bidi="zh-TW"/>
        </w:rPr>
      </w:pPr>
      <w:r>
        <w:rPr>
          <w:rFonts w:hint="eastAsia" w:ascii="仿宋_GB2312" w:eastAsia="仿宋_GB2312"/>
          <w:snapToGrid w:val="0"/>
          <w:color w:val="000000"/>
          <w:kern w:val="0"/>
          <w:sz w:val="28"/>
          <w:szCs w:val="28"/>
          <w:lang w:val="zh-TW" w:bidi="zh-TW"/>
        </w:rPr>
        <w:t xml:space="preserve">表1  </w:t>
      </w:r>
      <w:r>
        <w:rPr>
          <w:rFonts w:hint="eastAsia" w:ascii="仿宋_GB2312" w:eastAsia="仿宋_GB2312"/>
          <w:snapToGrid w:val="0"/>
          <w:color w:val="000000"/>
          <w:kern w:val="0"/>
          <w:sz w:val="28"/>
          <w:szCs w:val="28"/>
          <w:lang w:val="zh-TW" w:eastAsia="zh-TW" w:bidi="zh-TW"/>
        </w:rPr>
        <w:t>民用建筑主要技术经济指标表</w:t>
      </w:r>
    </w:p>
    <w:tbl>
      <w:tblPr>
        <w:tblStyle w:val="10"/>
        <w:tblW w:w="8329"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6"/>
        <w:gridCol w:w="1843"/>
        <w:gridCol w:w="709"/>
        <w:gridCol w:w="850"/>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b/>
                <w:sz w:val="24"/>
                <w:szCs w:val="24"/>
              </w:rPr>
            </w:pPr>
            <w:r>
              <w:rPr>
                <w:rFonts w:asciiTheme="minorEastAsia" w:hAnsiTheme="minorEastAsia"/>
                <w:b/>
                <w:sz w:val="24"/>
                <w:szCs w:val="24"/>
              </w:rPr>
              <w:t>序</w:t>
            </w:r>
            <w:r>
              <w:rPr>
                <w:rFonts w:hint="eastAsia" w:asciiTheme="minorEastAsia" w:hAnsiTheme="minorEastAsia"/>
                <w:b/>
                <w:sz w:val="24"/>
                <w:szCs w:val="24"/>
              </w:rPr>
              <w:t>号</w:t>
            </w:r>
          </w:p>
        </w:tc>
        <w:tc>
          <w:tcPr>
            <w:tcW w:w="1843" w:type="dxa"/>
            <w:shd w:val="clear" w:color="auto" w:fill="auto"/>
            <w:vAlign w:val="center"/>
          </w:tcPr>
          <w:p>
            <w:pPr>
              <w:adjustRightInd w:val="0"/>
              <w:snapToGrid w:val="0"/>
              <w:jc w:val="center"/>
              <w:rPr>
                <w:rFonts w:asciiTheme="minorEastAsia" w:hAnsiTheme="minorEastAsia"/>
                <w:b/>
                <w:sz w:val="24"/>
                <w:szCs w:val="24"/>
              </w:rPr>
            </w:pPr>
            <w:r>
              <w:rPr>
                <w:rFonts w:asciiTheme="minorEastAsia" w:hAnsiTheme="minorEastAsia"/>
                <w:b/>
                <w:sz w:val="24"/>
                <w:szCs w:val="24"/>
              </w:rPr>
              <w:t xml:space="preserve">名 </w:t>
            </w:r>
            <w:r>
              <w:rPr>
                <w:rFonts w:hint="eastAsia" w:asciiTheme="minorEastAsia" w:hAnsiTheme="minorEastAsia"/>
                <w:b/>
                <w:sz w:val="24"/>
                <w:szCs w:val="24"/>
              </w:rPr>
              <w:t>称</w:t>
            </w:r>
          </w:p>
        </w:tc>
        <w:tc>
          <w:tcPr>
            <w:tcW w:w="709" w:type="dxa"/>
            <w:shd w:val="clear" w:color="auto" w:fill="auto"/>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单位</w:t>
            </w:r>
          </w:p>
        </w:tc>
        <w:tc>
          <w:tcPr>
            <w:tcW w:w="850" w:type="dxa"/>
            <w:shd w:val="clear" w:color="auto" w:fill="auto"/>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数量</w:t>
            </w:r>
          </w:p>
        </w:tc>
        <w:tc>
          <w:tcPr>
            <w:tcW w:w="4071" w:type="dxa"/>
            <w:shd w:val="clear" w:color="auto" w:fill="auto"/>
            <w:vAlign w:val="center"/>
          </w:tcPr>
          <w:p>
            <w:pPr>
              <w:adjustRightInd w:val="0"/>
              <w:snapToGrid w:val="0"/>
              <w:jc w:val="center"/>
              <w:rPr>
                <w:rFonts w:asciiTheme="minorEastAsia" w:hAnsiTheme="minorEastAsia"/>
                <w:b/>
                <w:sz w:val="24"/>
                <w:szCs w:val="24"/>
              </w:rPr>
            </w:pPr>
            <w:r>
              <w:rPr>
                <w:rFonts w:hint="eastAsia" w:asciiTheme="minorEastAsia" w:hAnsiTheme="minorEastAsia"/>
                <w:b/>
                <w:sz w:val="24"/>
                <w:szCs w:val="24"/>
              </w:rPr>
              <w:t>备</w:t>
            </w:r>
            <w:r>
              <w:rPr>
                <w:rFonts w:asciiTheme="minorEastAsia" w:hAnsiTheme="minorEastAsia"/>
                <w:b/>
                <w:sz w:val="24"/>
                <w:szCs w:val="24"/>
              </w:rPr>
              <w:t xml:space="preserve">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1</w:t>
            </w:r>
          </w:p>
        </w:tc>
        <w:tc>
          <w:tcPr>
            <w:tcW w:w="1843"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总用地面积</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hm2</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2</w:t>
            </w:r>
          </w:p>
        </w:tc>
        <w:tc>
          <w:tcPr>
            <w:tcW w:w="1843"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总建筑面积</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m2</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地上、地下部分</w:t>
            </w:r>
            <w:r>
              <w:rPr>
                <w:rFonts w:hint="eastAsia" w:asciiTheme="minorEastAsia" w:hAnsiTheme="minorEastAsia"/>
                <w:szCs w:val="21"/>
              </w:rPr>
              <w:t>应分列，不同功能性质部分应分列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3</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建筑基底</w:t>
            </w:r>
            <w:r>
              <w:rPr>
                <w:rFonts w:hint="eastAsia" w:asciiTheme="minorEastAsia" w:hAnsiTheme="minorEastAsia"/>
                <w:szCs w:val="21"/>
              </w:rPr>
              <w:t>总面积</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hm2</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4</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道路</w:t>
            </w:r>
            <w:r>
              <w:rPr>
                <w:rFonts w:hint="eastAsia" w:asciiTheme="minorEastAsia" w:hAnsiTheme="minorEastAsia"/>
                <w:szCs w:val="21"/>
              </w:rPr>
              <w:t>广场总面积</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hm2</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含停</w:t>
            </w:r>
            <w:r>
              <w:rPr>
                <w:rFonts w:hint="eastAsia" w:asciiTheme="minorEastAsia" w:hAnsiTheme="minorEastAsia"/>
                <w:szCs w:val="21"/>
              </w:rPr>
              <w:t>车场面积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5</w:t>
            </w:r>
          </w:p>
        </w:tc>
        <w:tc>
          <w:tcPr>
            <w:tcW w:w="1843"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绿地总面积</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hm2</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可加注公共</w:t>
            </w:r>
            <w:r>
              <w:rPr>
                <w:rFonts w:hint="eastAsia" w:asciiTheme="minorEastAsia" w:hAnsiTheme="minorEastAsia"/>
                <w:szCs w:val="21"/>
              </w:rPr>
              <w:t>绿地面积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6</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容</w:t>
            </w:r>
            <w:r>
              <w:rPr>
                <w:rFonts w:hint="eastAsia" w:asciiTheme="minorEastAsia" w:hAnsiTheme="minorEastAsia"/>
                <w:szCs w:val="21"/>
              </w:rPr>
              <w:t>积率</w:t>
            </w:r>
          </w:p>
        </w:tc>
        <w:tc>
          <w:tcPr>
            <w:tcW w:w="709" w:type="dxa"/>
            <w:shd w:val="clear" w:color="auto" w:fill="auto"/>
            <w:vAlign w:val="center"/>
          </w:tcPr>
          <w:p>
            <w:pPr>
              <w:adjustRightInd w:val="0"/>
              <w:snapToGrid w:val="0"/>
              <w:jc w:val="center"/>
              <w:rPr>
                <w:rFonts w:asciiTheme="minorEastAsia" w:hAnsiTheme="minorEastAsia"/>
                <w:szCs w:val="21"/>
              </w:rPr>
            </w:pP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hint="eastAsia" w:asciiTheme="minorEastAsia" w:hAnsiTheme="minorEastAsia"/>
                <w:szCs w:val="21"/>
              </w:rPr>
              <w:t>⑵</w:t>
            </w:r>
            <w:r>
              <w:rPr>
                <w:rFonts w:asciiTheme="minorEastAsia" w:hAnsiTheme="minorEastAsia"/>
                <w:szCs w:val="21"/>
              </w:rPr>
              <w:t>/</w:t>
            </w:r>
            <w:r>
              <w:rPr>
                <w:rFonts w:hint="eastAsia" w:asciiTheme="minorEastAsia" w:hAnsiTheme="minorEastAsia"/>
                <w:szCs w:val="21"/>
              </w:rPr>
              <w:t>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7</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建筑密度</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8</w:t>
            </w:r>
          </w:p>
        </w:tc>
        <w:tc>
          <w:tcPr>
            <w:tcW w:w="1843"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绿地率</w:t>
            </w:r>
          </w:p>
        </w:tc>
        <w:tc>
          <w:tcPr>
            <w:tcW w:w="709"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9</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机</w:t>
            </w:r>
            <w:r>
              <w:rPr>
                <w:rFonts w:hint="eastAsia" w:asciiTheme="minorEastAsia" w:hAnsiTheme="minorEastAsia"/>
                <w:szCs w:val="21"/>
              </w:rPr>
              <w:t>动车停车泊位数</w:t>
            </w:r>
          </w:p>
        </w:tc>
        <w:tc>
          <w:tcPr>
            <w:tcW w:w="709"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辆</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rPr>
                <w:rFonts w:asciiTheme="minorEastAsia" w:hAnsiTheme="minorEastAsia"/>
                <w:szCs w:val="21"/>
              </w:rPr>
            </w:pPr>
            <w:r>
              <w:rPr>
                <w:rFonts w:asciiTheme="minorEastAsia" w:hAnsiTheme="minorEastAsia"/>
                <w:szCs w:val="21"/>
              </w:rPr>
              <w:t>室</w:t>
            </w:r>
            <w:r>
              <w:rPr>
                <w:rFonts w:hint="eastAsia" w:asciiTheme="minorEastAsia" w:hAnsiTheme="minorEastAsia"/>
                <w:szCs w:val="21"/>
              </w:rPr>
              <w:t>内、外应分列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856"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10</w:t>
            </w:r>
          </w:p>
        </w:tc>
        <w:tc>
          <w:tcPr>
            <w:tcW w:w="1843" w:type="dxa"/>
            <w:shd w:val="clear" w:color="auto" w:fill="auto"/>
            <w:vAlign w:val="center"/>
          </w:tcPr>
          <w:p>
            <w:pPr>
              <w:adjustRightInd w:val="0"/>
              <w:snapToGrid w:val="0"/>
              <w:jc w:val="center"/>
              <w:rPr>
                <w:rFonts w:asciiTheme="minorEastAsia" w:hAnsiTheme="minorEastAsia"/>
                <w:szCs w:val="21"/>
              </w:rPr>
            </w:pPr>
            <w:r>
              <w:rPr>
                <w:rFonts w:asciiTheme="minorEastAsia" w:hAnsiTheme="minorEastAsia"/>
                <w:szCs w:val="21"/>
              </w:rPr>
              <w:t>非机</w:t>
            </w:r>
            <w:r>
              <w:rPr>
                <w:rFonts w:hint="eastAsia" w:asciiTheme="minorEastAsia" w:hAnsiTheme="minorEastAsia"/>
                <w:szCs w:val="21"/>
              </w:rPr>
              <w:t>动车停放数量</w:t>
            </w:r>
          </w:p>
        </w:tc>
        <w:tc>
          <w:tcPr>
            <w:tcW w:w="709" w:type="dxa"/>
            <w:shd w:val="clear" w:color="auto" w:fill="auto"/>
            <w:vAlign w:val="center"/>
          </w:tcPr>
          <w:p>
            <w:pPr>
              <w:adjustRightInd w:val="0"/>
              <w:snapToGrid w:val="0"/>
              <w:jc w:val="center"/>
              <w:rPr>
                <w:rFonts w:asciiTheme="minorEastAsia" w:hAnsiTheme="minorEastAsia"/>
                <w:szCs w:val="21"/>
              </w:rPr>
            </w:pPr>
            <w:r>
              <w:rPr>
                <w:rFonts w:hint="eastAsia" w:asciiTheme="minorEastAsia" w:hAnsiTheme="minorEastAsia"/>
                <w:szCs w:val="21"/>
              </w:rPr>
              <w:t>辆</w:t>
            </w:r>
          </w:p>
        </w:tc>
        <w:tc>
          <w:tcPr>
            <w:tcW w:w="850" w:type="dxa"/>
            <w:shd w:val="clear" w:color="auto" w:fill="auto"/>
            <w:vAlign w:val="center"/>
          </w:tcPr>
          <w:p>
            <w:pPr>
              <w:adjustRightInd w:val="0"/>
              <w:snapToGrid w:val="0"/>
              <w:jc w:val="center"/>
              <w:rPr>
                <w:rFonts w:asciiTheme="minorEastAsia" w:hAnsiTheme="minorEastAsia"/>
                <w:szCs w:val="21"/>
              </w:rPr>
            </w:pPr>
          </w:p>
        </w:tc>
        <w:tc>
          <w:tcPr>
            <w:tcW w:w="4071" w:type="dxa"/>
            <w:shd w:val="clear" w:color="auto" w:fill="auto"/>
            <w:vAlign w:val="center"/>
          </w:tcPr>
          <w:p>
            <w:pPr>
              <w:adjustRightInd w:val="0"/>
              <w:snapToGrid w:val="0"/>
              <w:jc w:val="center"/>
              <w:rPr>
                <w:rFonts w:asciiTheme="minorEastAsia" w:hAnsiTheme="minorEastAsia"/>
                <w:szCs w:val="21"/>
              </w:rPr>
            </w:pPr>
          </w:p>
        </w:tc>
      </w:tr>
    </w:tbl>
    <w:p>
      <w:pPr>
        <w:pStyle w:val="28"/>
        <w:shd w:val="clear" w:color="auto" w:fill="auto"/>
        <w:adjustRightInd w:val="0"/>
        <w:snapToGrid w:val="0"/>
        <w:spacing w:line="240" w:lineRule="auto"/>
        <w:ind w:left="1155" w:leftChars="200" w:hanging="735" w:hangingChars="350"/>
        <w:jc w:val="both"/>
        <w:rPr>
          <w:rFonts w:asciiTheme="minorEastAsia" w:hAnsiTheme="minorEastAsia" w:eastAsiaTheme="minorEastAsia"/>
          <w:snapToGrid w:val="0"/>
          <w:color w:val="000000"/>
          <w:kern w:val="0"/>
          <w:sz w:val="21"/>
          <w:szCs w:val="21"/>
          <w:lang w:val="zh-TW" w:bidi="zh-TW"/>
        </w:rPr>
      </w:pPr>
      <w:r>
        <w:rPr>
          <w:rFonts w:asciiTheme="minorEastAsia" w:hAnsiTheme="minorEastAsia" w:eastAsiaTheme="minorEastAsia"/>
          <w:snapToGrid w:val="0"/>
          <w:color w:val="000000"/>
          <w:kern w:val="0"/>
          <w:sz w:val="21"/>
          <w:szCs w:val="21"/>
          <w:lang w:val="zh-TW" w:eastAsia="zh-TW" w:bidi="zh-TW"/>
        </w:rPr>
        <w:t>注：</w:t>
      </w:r>
      <w:r>
        <w:rPr>
          <w:rStyle w:val="33"/>
          <w:rFonts w:asciiTheme="minorEastAsia" w:hAnsiTheme="minorEastAsia" w:eastAsiaTheme="minorEastAsia"/>
          <w:snapToGrid w:val="0"/>
          <w:kern w:val="0"/>
          <w:sz w:val="21"/>
          <w:szCs w:val="21"/>
          <w:shd w:val="clear" w:color="auto" w:fill="auto"/>
        </w:rPr>
        <w:t>1</w:t>
      </w:r>
      <w:r>
        <w:rPr>
          <w:rStyle w:val="33"/>
          <w:rFonts w:hint="eastAsia" w:asciiTheme="minorEastAsia" w:hAnsiTheme="minorEastAsia" w:eastAsiaTheme="minorEastAsia"/>
          <w:snapToGrid w:val="0"/>
          <w:kern w:val="0"/>
          <w:sz w:val="21"/>
          <w:szCs w:val="21"/>
          <w:shd w:val="clear" w:color="auto" w:fill="auto"/>
          <w:lang w:eastAsia="zh-CN"/>
        </w:rPr>
        <w:t>、</w:t>
      </w:r>
      <w:r>
        <w:rPr>
          <w:rFonts w:asciiTheme="minorEastAsia" w:hAnsiTheme="minorEastAsia" w:eastAsiaTheme="minorEastAsia"/>
          <w:snapToGrid w:val="0"/>
          <w:color w:val="000000"/>
          <w:kern w:val="0"/>
          <w:sz w:val="21"/>
          <w:szCs w:val="21"/>
          <w:lang w:val="zh-TW" w:eastAsia="zh-TW" w:bidi="zh-TW"/>
        </w:rPr>
        <w:t>当工程项目（如城市居住区）有相应的规划设计规范时，技术经济指标的内容应按其执行;</w:t>
      </w:r>
    </w:p>
    <w:p>
      <w:pPr>
        <w:pStyle w:val="28"/>
        <w:shd w:val="clear" w:color="auto" w:fill="auto"/>
        <w:adjustRightInd w:val="0"/>
        <w:snapToGrid w:val="0"/>
        <w:spacing w:line="240" w:lineRule="auto"/>
        <w:ind w:firstLine="840" w:firstLineChars="400"/>
        <w:jc w:val="both"/>
        <w:rPr>
          <w:rFonts w:asciiTheme="minorEastAsia" w:hAnsiTheme="minorEastAsia" w:eastAsiaTheme="minorEastAsia"/>
          <w:snapToGrid w:val="0"/>
          <w:kern w:val="0"/>
          <w:sz w:val="21"/>
          <w:szCs w:val="21"/>
        </w:rPr>
      </w:pPr>
      <w:r>
        <w:rPr>
          <w:rStyle w:val="33"/>
          <w:rFonts w:asciiTheme="minorEastAsia" w:hAnsiTheme="minorEastAsia" w:eastAsiaTheme="minorEastAsia"/>
          <w:snapToGrid w:val="0"/>
          <w:kern w:val="0"/>
          <w:sz w:val="21"/>
          <w:szCs w:val="21"/>
          <w:shd w:val="clear" w:color="auto" w:fill="auto"/>
        </w:rPr>
        <w:t>2</w:t>
      </w:r>
      <w:r>
        <w:rPr>
          <w:rStyle w:val="33"/>
          <w:rFonts w:hint="eastAsia" w:asciiTheme="minorEastAsia" w:hAnsiTheme="minorEastAsia" w:eastAsiaTheme="minorEastAsia"/>
          <w:snapToGrid w:val="0"/>
          <w:kern w:val="0"/>
          <w:sz w:val="21"/>
          <w:szCs w:val="21"/>
          <w:shd w:val="clear" w:color="auto" w:fill="auto"/>
          <w:lang w:eastAsia="zh-CN"/>
        </w:rPr>
        <w:t>、</w:t>
      </w:r>
      <w:r>
        <w:rPr>
          <w:rFonts w:asciiTheme="minorEastAsia" w:hAnsiTheme="minorEastAsia" w:eastAsiaTheme="minorEastAsia"/>
          <w:snapToGrid w:val="0"/>
          <w:color w:val="000000"/>
          <w:kern w:val="0"/>
          <w:sz w:val="21"/>
          <w:szCs w:val="21"/>
          <w:lang w:val="zh-TW" w:eastAsia="zh-TW" w:bidi="zh-TW"/>
        </w:rPr>
        <w:t>计算容积率时，通常不包括</w:t>
      </w:r>
      <w:r>
        <w:rPr>
          <w:rFonts w:asciiTheme="minorEastAsia" w:hAnsiTheme="minorEastAsia" w:eastAsiaTheme="minorEastAsia"/>
          <w:snapToGrid w:val="0"/>
          <w:color w:val="000000"/>
          <w:kern w:val="0"/>
          <w:sz w:val="21"/>
          <w:szCs w:val="21"/>
          <w:lang w:bidi="en-US"/>
        </w:rPr>
        <w:t>±0.00</w:t>
      </w:r>
      <w:r>
        <w:rPr>
          <w:rFonts w:asciiTheme="minorEastAsia" w:hAnsiTheme="minorEastAsia" w:eastAsiaTheme="minorEastAsia"/>
          <w:snapToGrid w:val="0"/>
          <w:color w:val="000000"/>
          <w:kern w:val="0"/>
          <w:sz w:val="21"/>
          <w:szCs w:val="21"/>
          <w:lang w:val="zh-TW" w:eastAsia="zh-TW" w:bidi="zh-TW"/>
        </w:rPr>
        <w:t>以下地下建筑面积。</w:t>
      </w:r>
    </w:p>
    <w:p>
      <w:pPr>
        <w:rPr>
          <w:snapToGrid w:val="0"/>
          <w:kern w:val="0"/>
          <w:sz w:val="2"/>
          <w:szCs w:val="2"/>
        </w:rPr>
      </w:pP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bidi="zh-TW"/>
        </w:rPr>
        <w:t>7、</w:t>
      </w:r>
      <w:r>
        <w:rPr>
          <w:rFonts w:ascii="仿宋_GB2312" w:eastAsia="仿宋_GB2312"/>
          <w:snapToGrid w:val="0"/>
          <w:color w:val="000000"/>
          <w:kern w:val="0"/>
          <w:sz w:val="21"/>
          <w:szCs w:val="21"/>
          <w:lang w:val="zh-TW" w:eastAsia="zh-TW" w:bidi="zh-TW"/>
        </w:rPr>
        <w:t>室外工程主要材料。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eastAsia="仿宋_GB2312"/>
          <w:b/>
          <w:snapToGrid w:val="0"/>
          <w:kern w:val="0"/>
          <w:sz w:val="21"/>
          <w:szCs w:val="21"/>
        </w:rPr>
      </w:pPr>
      <w:r>
        <w:rPr>
          <w:rFonts w:ascii="仿宋_GB2312" w:eastAsia="仿宋_GB2312"/>
          <w:b/>
          <w:snapToGrid w:val="0"/>
          <w:color w:val="000000"/>
          <w:kern w:val="0"/>
          <w:sz w:val="21"/>
          <w:szCs w:val="21"/>
          <w:lang w:bidi="en-US"/>
        </w:rPr>
        <w:t>(二)</w:t>
      </w:r>
      <w:r>
        <w:rPr>
          <w:rFonts w:hint="eastAsia" w:ascii="仿宋_GB2312" w:eastAsia="仿宋_GB2312"/>
          <w:b/>
          <w:snapToGrid w:val="0"/>
          <w:color w:val="000000"/>
          <w:kern w:val="0"/>
          <w:sz w:val="21"/>
          <w:szCs w:val="21"/>
          <w:lang w:val="zh-TW" w:eastAsia="zh-TW" w:bidi="zh-TW"/>
        </w:rPr>
        <w:t>设计图纸。</w:t>
      </w:r>
    </w:p>
    <w:p>
      <w:pPr>
        <w:pStyle w:val="20"/>
        <w:keepNext w:val="0"/>
        <w:keepLines w:val="0"/>
        <w:pageBreakBefore w:val="0"/>
        <w:widowControl w:val="0"/>
        <w:numPr>
          <w:ilvl w:val="0"/>
          <w:numId w:val="7"/>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区域位置图</w:t>
      </w:r>
      <w:r>
        <w:rPr>
          <w:rFonts w:ascii="仿宋_GB2312" w:eastAsia="仿宋_GB2312"/>
          <w:snapToGrid w:val="0"/>
          <w:color w:val="000000"/>
          <w:kern w:val="0"/>
          <w:sz w:val="21"/>
          <w:szCs w:val="21"/>
          <w:lang w:bidi="en-US"/>
        </w:rPr>
        <w:t>（</w:t>
      </w:r>
      <w:r>
        <w:rPr>
          <w:rFonts w:ascii="仿宋_GB2312" w:eastAsia="仿宋_GB2312"/>
          <w:snapToGrid w:val="0"/>
          <w:color w:val="000000"/>
          <w:kern w:val="0"/>
          <w:sz w:val="21"/>
          <w:szCs w:val="21"/>
          <w:lang w:val="zh-TW" w:eastAsia="zh-TW" w:bidi="zh-TW"/>
        </w:rPr>
        <w:t>根据需要</w:t>
      </w:r>
      <w:r>
        <w:rPr>
          <w:rFonts w:hint="eastAsia" w:ascii="仿宋_GB2312" w:eastAsia="仿宋_GB2312"/>
          <w:snapToGrid w:val="0"/>
          <w:color w:val="000000"/>
          <w:kern w:val="0"/>
          <w:sz w:val="21"/>
          <w:szCs w:val="21"/>
          <w:lang w:val="zh-TW" w:eastAsia="zh-TW" w:bidi="zh-TW"/>
        </w:rPr>
        <w:t>绘制）。</w:t>
      </w:r>
    </w:p>
    <w:p>
      <w:pPr>
        <w:pStyle w:val="20"/>
        <w:keepNext w:val="0"/>
        <w:keepLines w:val="0"/>
        <w:pageBreakBefore w:val="0"/>
        <w:widowControl w:val="0"/>
        <w:numPr>
          <w:ilvl w:val="0"/>
          <w:numId w:val="7"/>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总平面图。</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保留的地形和地物</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测量坐标网、坐标值，场地范围的测量坐标（或定位尺寸），道路红线、建筑控制</w:t>
      </w:r>
      <w:r>
        <w:rPr>
          <w:rFonts w:ascii="仿宋_GB2312" w:eastAsia="仿宋_GB2312"/>
          <w:snapToGrid w:val="0"/>
          <w:color w:val="000000"/>
          <w:kern w:val="0"/>
          <w:sz w:val="21"/>
          <w:szCs w:val="21"/>
          <w:lang w:val="zh-TW" w:eastAsia="zh-TW" w:bidi="zh-TW"/>
        </w:rPr>
        <w:t xml:space="preserve"> </w:t>
      </w:r>
      <w:r>
        <w:rPr>
          <w:rFonts w:hint="eastAsia" w:ascii="仿宋_GB2312" w:eastAsia="仿宋_GB2312"/>
          <w:snapToGrid w:val="0"/>
          <w:color w:val="000000"/>
          <w:kern w:val="0"/>
          <w:sz w:val="21"/>
          <w:szCs w:val="21"/>
          <w:lang w:val="zh-TW" w:eastAsia="zh-TW" w:bidi="zh-TW"/>
        </w:rPr>
        <w:t>线、用地红线</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场地四邻原有及规划的道路、绿化带等的位置（主要坐标或定位尺寸）和主要建</w:t>
      </w:r>
      <w:r>
        <w:rPr>
          <w:rFonts w:ascii="仿宋_GB2312" w:eastAsia="仿宋_GB2312"/>
          <w:snapToGrid w:val="0"/>
          <w:color w:val="000000"/>
          <w:kern w:val="0"/>
          <w:sz w:val="21"/>
          <w:szCs w:val="21"/>
          <w:lang w:val="zh-TW" w:eastAsia="zh-TW" w:bidi="zh-TW"/>
        </w:rPr>
        <w:t xml:space="preserve"> 筑物及构筑物的位置、名</w:t>
      </w:r>
      <w:r>
        <w:rPr>
          <w:rFonts w:hint="eastAsia" w:ascii="仿宋_GB2312" w:eastAsia="仿宋_GB2312"/>
          <w:snapToGrid w:val="0"/>
          <w:color w:val="000000"/>
          <w:kern w:val="0"/>
          <w:sz w:val="21"/>
          <w:szCs w:val="21"/>
          <w:lang w:val="zh-TW" w:eastAsia="zh-TW" w:bidi="zh-TW"/>
        </w:rPr>
        <w:t>称、层数、间距</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ascii="仿宋_GB2312" w:eastAsia="仿宋_GB2312"/>
          <w:snapToGrid w:val="0"/>
          <w:color w:val="000000"/>
          <w:kern w:val="0"/>
          <w:sz w:val="21"/>
          <w:szCs w:val="21"/>
          <w:lang w:val="zh-TW" w:eastAsia="zh-TW" w:bidi="zh-TW"/>
        </w:rPr>
        <w:t>建筑物、构筑物的位置（人防工程、地下</w:t>
      </w:r>
      <w:r>
        <w:rPr>
          <w:rFonts w:hint="eastAsia" w:ascii="仿宋_GB2312" w:eastAsia="仿宋_GB2312"/>
          <w:snapToGrid w:val="0"/>
          <w:color w:val="000000"/>
          <w:kern w:val="0"/>
          <w:sz w:val="21"/>
          <w:szCs w:val="21"/>
          <w:lang w:val="zh-TW" w:eastAsia="zh-TW" w:bidi="zh-TW"/>
        </w:rPr>
        <w:t>车库、油库、贮水池等隐蔽工程用虚线</w:t>
      </w:r>
      <w:r>
        <w:rPr>
          <w:rFonts w:ascii="仿宋_GB2312" w:eastAsia="仿宋_GB2312"/>
          <w:snapToGrid w:val="0"/>
          <w:color w:val="000000"/>
          <w:kern w:val="0"/>
          <w:sz w:val="21"/>
          <w:szCs w:val="21"/>
          <w:lang w:val="zh-TW" w:eastAsia="zh-TW" w:bidi="zh-TW"/>
        </w:rPr>
        <w:t xml:space="preserve"> 表示）与各</w:t>
      </w:r>
      <w:r>
        <w:rPr>
          <w:rFonts w:hint="eastAsia" w:ascii="仿宋_GB2312" w:eastAsia="仿宋_GB2312"/>
          <w:snapToGrid w:val="0"/>
          <w:color w:val="000000"/>
          <w:kern w:val="0"/>
          <w:sz w:val="21"/>
          <w:szCs w:val="21"/>
          <w:lang w:val="zh-TW" w:eastAsia="zh-TW" w:bidi="zh-TW"/>
        </w:rPr>
        <w:t>类控制线的距离，其中主要建筑物、构筑物应标注坐标（或定位尺寸）、</w:t>
      </w:r>
      <w:r>
        <w:rPr>
          <w:rFonts w:ascii="仿宋_GB2312" w:eastAsia="仿宋_GB2312"/>
          <w:snapToGrid w:val="0"/>
          <w:color w:val="000000"/>
          <w:kern w:val="0"/>
          <w:sz w:val="21"/>
          <w:szCs w:val="21"/>
          <w:lang w:val="zh-TW" w:eastAsia="zh-TW" w:bidi="zh-TW"/>
        </w:rPr>
        <w:t xml:space="preserve"> 与相</w:t>
      </w:r>
      <w:r>
        <w:rPr>
          <w:rFonts w:hint="eastAsia" w:ascii="仿宋_GB2312" w:eastAsia="仿宋_GB2312"/>
          <w:snapToGrid w:val="0"/>
          <w:color w:val="000000"/>
          <w:kern w:val="0"/>
          <w:sz w:val="21"/>
          <w:szCs w:val="21"/>
          <w:lang w:val="zh-TW" w:eastAsia="zh-TW" w:bidi="zh-TW"/>
        </w:rPr>
        <w:t>邻建筑物之间的距离及建筑物总尺寸、名称</w:t>
      </w:r>
      <w:r>
        <w:rPr>
          <w:rFonts w:ascii="仿宋_GB2312" w:eastAsia="仿宋_GB2312"/>
          <w:snapToGrid w:val="0"/>
          <w:color w:val="000000"/>
          <w:kern w:val="0"/>
          <w:sz w:val="21"/>
          <w:szCs w:val="21"/>
          <w:lang w:bidi="en-US"/>
        </w:rPr>
        <w:t>（</w:t>
      </w:r>
      <w:r>
        <w:rPr>
          <w:rFonts w:ascii="仿宋_GB2312" w:eastAsia="仿宋_GB2312"/>
          <w:snapToGrid w:val="0"/>
          <w:color w:val="000000"/>
          <w:kern w:val="0"/>
          <w:sz w:val="21"/>
          <w:szCs w:val="21"/>
          <w:lang w:val="zh-TW" w:eastAsia="zh-TW" w:bidi="zh-TW"/>
        </w:rPr>
        <w:t>或</w:t>
      </w:r>
      <w:r>
        <w:rPr>
          <w:rFonts w:hint="eastAsia" w:ascii="仿宋_GB2312" w:eastAsia="仿宋_GB2312"/>
          <w:snapToGrid w:val="0"/>
          <w:color w:val="000000"/>
          <w:kern w:val="0"/>
          <w:sz w:val="21"/>
          <w:szCs w:val="21"/>
          <w:lang w:val="zh-TW" w:eastAsia="zh-TW" w:bidi="zh-TW"/>
        </w:rPr>
        <w:t>编号）、层数</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道路、广场的主要坐标(或定位尺寸），停车场及停车位、消防车道及高层建筑消 防扑救场地的布置，必要时加绘交通流线示意</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绿化、景观及休闲设施的布置示意，并表示出护坡、挡土墙、排水沟等</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指北针或风玫瑰图</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8"/>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说明栏内注写：尺寸单位、比例、地形图的测绘单位、日期，坐标及高程系统名称（如为场地建筑坐标网时，应说明其与测量坐标网的换算关系），补充图例及其 他必要的说明等。</w:t>
      </w:r>
    </w:p>
    <w:p>
      <w:pPr>
        <w:pStyle w:val="20"/>
        <w:keepNext w:val="0"/>
        <w:keepLines w:val="0"/>
        <w:pageBreakBefore w:val="0"/>
        <w:widowControl w:val="0"/>
        <w:numPr>
          <w:ilvl w:val="0"/>
          <w:numId w:val="7"/>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竖向布置图。</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场地范围的测量坐标值（或注尺寸</w:t>
      </w:r>
      <w:r>
        <w:rPr>
          <w:rFonts w:hint="eastAsia" w:ascii="仿宋_GB2312" w:eastAsia="仿宋_GB2312"/>
          <w:snapToGrid w:val="0"/>
          <w:color w:val="000000"/>
          <w:kern w:val="0"/>
          <w:sz w:val="21"/>
          <w:szCs w:val="21"/>
          <w:lang w:bidi="en-US"/>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场地四邻的道路、地面、水面，及其关键性标高</w:t>
      </w:r>
      <w:r>
        <w:rPr>
          <w:rFonts w:hint="eastAsia"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val="zh-TW" w:eastAsia="zh-TW" w:bidi="zh-TW"/>
        </w:rPr>
        <w:t>如道路出入口</w:t>
      </w:r>
      <w:r>
        <w:rPr>
          <w:rFonts w:hint="eastAsia" w:ascii="仿宋_GB2312" w:eastAsia="仿宋_GB2312"/>
          <w:snapToGrid w:val="0"/>
          <w:color w:val="000000"/>
          <w:kern w:val="0"/>
          <w:sz w:val="21"/>
          <w:szCs w:val="21"/>
          <w:lang w:bidi="en-US"/>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保留的地形、地物</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建筑物、构筑物的位置名称</w:t>
      </w:r>
      <w:r>
        <w:rPr>
          <w:rFonts w:hint="eastAsia" w:ascii="仿宋_GB2312" w:eastAsia="仿宋_GB2312"/>
          <w:snapToGrid w:val="0"/>
          <w:color w:val="000000"/>
          <w:kern w:val="0"/>
          <w:sz w:val="21"/>
          <w:szCs w:val="21"/>
          <w:lang w:bidi="en-US"/>
        </w:rPr>
        <w:t>（</w:t>
      </w:r>
      <w:r>
        <w:rPr>
          <w:rFonts w:hint="eastAsia" w:ascii="仿宋_GB2312" w:eastAsia="仿宋_GB2312"/>
          <w:snapToGrid w:val="0"/>
          <w:color w:val="000000"/>
          <w:kern w:val="0"/>
          <w:sz w:val="21"/>
          <w:szCs w:val="21"/>
          <w:lang w:val="zh-TW" w:eastAsia="zh-TW" w:bidi="zh-TW"/>
        </w:rPr>
        <w:t>或编号）、主要建筑物和构筑物的室内外设计标高、层数，有严格限制的建筑物、构筑物高度</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主要道路、广场的起点、变坡点、转折点和终点的设计标高，以及场地的控制性 标高</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用箭头或等高线表示地面坡向，并表示出护坡、挡土墙、排水沟等</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指北针</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numPr>
          <w:ilvl w:val="0"/>
          <w:numId w:val="9"/>
        </w:numPr>
        <w:shd w:val="clear" w:color="auto" w:fill="auto"/>
        <w:tabs>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eastAsia="仿宋_GB2312"/>
          <w:snapToGrid w:val="0"/>
          <w:kern w:val="0"/>
          <w:sz w:val="21"/>
          <w:szCs w:val="21"/>
        </w:rPr>
      </w:pPr>
      <w:r>
        <w:rPr>
          <w:rFonts w:hint="eastAsia" w:ascii="仿宋_GB2312" w:eastAsia="仿宋_GB2312"/>
          <w:snapToGrid w:val="0"/>
          <w:color w:val="000000"/>
          <w:kern w:val="0"/>
          <w:sz w:val="21"/>
          <w:szCs w:val="21"/>
          <w:lang w:val="zh-TW" w:eastAsia="zh-TW" w:bidi="zh-TW"/>
        </w:rPr>
        <w:t>注明：尺寸单位、比例、补充图例</w:t>
      </w:r>
      <w:r>
        <w:rPr>
          <w:rFonts w:hint="eastAsia" w:ascii="仿宋_GB2312" w:eastAsia="仿宋_GB2312"/>
          <w:snapToGrid w:val="0"/>
          <w:color w:val="000000"/>
          <w:kern w:val="0"/>
          <w:sz w:val="21"/>
          <w:szCs w:val="21"/>
          <w:lang w:val="zh-TW" w:bidi="zh-TW"/>
        </w:rPr>
        <w:t>。</w:t>
      </w:r>
    </w:p>
    <w:p>
      <w:pPr>
        <w:pStyle w:val="20"/>
        <w:keepNext w:val="0"/>
        <w:keepLines w:val="0"/>
        <w:pageBreakBefore w:val="0"/>
        <w:widowControl w:val="0"/>
        <w:shd w:val="clear" w:color="auto" w:fill="auto"/>
        <w:tabs>
          <w:tab w:val="left" w:pos="5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华文中宋" w:eastAsia="仿宋_GB2312" w:cs="Times New Roman"/>
          <w:snapToGrid w:val="0"/>
          <w:kern w:val="0"/>
          <w:sz w:val="21"/>
          <w:szCs w:val="21"/>
          <w:lang w:bidi="en-US"/>
        </w:rPr>
      </w:pPr>
      <w:r>
        <w:rPr>
          <w:rFonts w:hint="eastAsia" w:ascii="仿宋_GB2312" w:eastAsia="仿宋_GB2312"/>
          <w:snapToGrid w:val="0"/>
          <w:color w:val="000000"/>
          <w:kern w:val="0"/>
          <w:sz w:val="21"/>
          <w:szCs w:val="21"/>
          <w:lang w:val="zh-TW" w:bidi="zh-TW"/>
        </w:rPr>
        <w:t>4、</w:t>
      </w:r>
      <w:r>
        <w:rPr>
          <w:rFonts w:hint="eastAsia" w:ascii="仿宋_GB2312" w:eastAsia="仿宋_GB2312"/>
          <w:snapToGrid w:val="0"/>
          <w:color w:val="000000"/>
          <w:kern w:val="0"/>
          <w:sz w:val="21"/>
          <w:szCs w:val="21"/>
          <w:lang w:val="zh-TW" w:eastAsia="zh-TW" w:bidi="zh-TW"/>
        </w:rPr>
        <w:t>根据项目实际情况可</w:t>
      </w:r>
      <w:r>
        <w:rPr>
          <w:rFonts w:hint="eastAsia" w:ascii="仿宋_GB2312"/>
          <w:snapToGrid w:val="0"/>
          <w:color w:val="000000"/>
          <w:kern w:val="0"/>
          <w:sz w:val="21"/>
          <w:szCs w:val="21"/>
          <w:lang w:val="zh-TW" w:eastAsia="zh-TW" w:bidi="zh-TW"/>
        </w:rPr>
        <w:t>増</w:t>
      </w:r>
      <w:r>
        <w:rPr>
          <w:rFonts w:hint="eastAsia" w:ascii="仿宋_GB2312" w:eastAsia="仿宋_GB2312"/>
          <w:snapToGrid w:val="0"/>
          <w:color w:val="000000"/>
          <w:kern w:val="0"/>
          <w:sz w:val="21"/>
          <w:szCs w:val="21"/>
          <w:lang w:val="zh-TW" w:eastAsia="zh-TW" w:bidi="zh-TW"/>
        </w:rPr>
        <w:t>加绘制交通、日照、土方图等，也可图纸合并。</w:t>
      </w:r>
    </w:p>
    <w:p>
      <w:pPr>
        <w:pStyle w:val="20"/>
        <w:keepNext w:val="0"/>
        <w:keepLines w:val="0"/>
        <w:pageBreakBefore w:val="0"/>
        <w:widowControl w:val="0"/>
        <w:shd w:val="clear" w:color="auto" w:fill="auto"/>
        <w:tabs>
          <w:tab w:val="left" w:pos="567"/>
        </w:tabs>
        <w:kinsoku/>
        <w:wordWrap/>
        <w:overflowPunct/>
        <w:topLinePunct w:val="0"/>
        <w:autoSpaceDE/>
        <w:autoSpaceDN/>
        <w:bidi w:val="0"/>
        <w:adjustRightInd w:val="0"/>
        <w:snapToGrid w:val="0"/>
        <w:spacing w:line="320" w:lineRule="exact"/>
        <w:ind w:firstLine="200"/>
        <w:jc w:val="both"/>
        <w:textAlignment w:val="auto"/>
        <w:outlineLvl w:val="9"/>
        <w:rPr>
          <w:rFonts w:ascii="华文中宋" w:hAnsi="华文中宋" w:eastAsia="华文中宋" w:cs="Times New Roman"/>
          <w:snapToGrid w:val="0"/>
          <w:kern w:val="0"/>
          <w:sz w:val="21"/>
          <w:szCs w:val="21"/>
          <w:lang w:bidi="en-US"/>
        </w:rPr>
      </w:pPr>
    </w:p>
    <w:p>
      <w:pPr>
        <w:pStyle w:val="20"/>
        <w:keepNext w:val="0"/>
        <w:keepLines w:val="0"/>
        <w:pageBreakBefore w:val="0"/>
        <w:widowControl w:val="0"/>
        <w:shd w:val="clear" w:color="auto" w:fill="auto"/>
        <w:tabs>
          <w:tab w:val="left" w:pos="5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rPr>
      </w:pPr>
      <w:r>
        <w:rPr>
          <w:rFonts w:hint="eastAsia" w:ascii="华文中宋" w:hAnsi="华文中宋" w:eastAsia="华文中宋" w:cs="Times New Roman"/>
          <w:snapToGrid w:val="0"/>
          <w:kern w:val="0"/>
          <w:sz w:val="21"/>
          <w:szCs w:val="21"/>
          <w:lang w:bidi="en-US"/>
        </w:rPr>
        <w:t>二、</w:t>
      </w:r>
      <w:r>
        <w:rPr>
          <w:rFonts w:hint="eastAsia" w:ascii="华文中宋" w:hAnsi="华文中宋" w:eastAsia="华文中宋" w:cs="Times New Roman"/>
          <w:snapToGrid w:val="0"/>
          <w:kern w:val="0"/>
          <w:sz w:val="21"/>
          <w:szCs w:val="21"/>
        </w:rPr>
        <w:t>建筑设计</w:t>
      </w:r>
    </w:p>
    <w:p>
      <w:pPr>
        <w:pStyle w:val="20"/>
        <w:keepNext w:val="0"/>
        <w:keepLines w:val="0"/>
        <w:pageBreakBefore w:val="0"/>
        <w:widowControl w:val="0"/>
        <w:shd w:val="clear" w:color="auto" w:fill="auto"/>
        <w:tabs>
          <w:tab w:val="left" w:pos="567"/>
        </w:tabs>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设计说明书。</w:t>
      </w:r>
    </w:p>
    <w:p>
      <w:pPr>
        <w:pStyle w:val="20"/>
        <w:keepNext w:val="0"/>
        <w:keepLines w:val="0"/>
        <w:pageBreakBefore w:val="0"/>
        <w:widowControl w:val="0"/>
        <w:numPr>
          <w:ilvl w:val="0"/>
          <w:numId w:val="10"/>
        </w:numPr>
        <w:shd w:val="clear" w:color="auto" w:fill="auto"/>
        <w:tabs>
          <w:tab w:val="left" w:pos="567"/>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11"/>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摘述设计任务书和其他依据性资料中与建筑专业有关的主要内容；</w:t>
      </w:r>
    </w:p>
    <w:p>
      <w:pPr>
        <w:pStyle w:val="20"/>
        <w:keepNext w:val="0"/>
        <w:keepLines w:val="0"/>
        <w:pageBreakBefore w:val="0"/>
        <w:widowControl w:val="0"/>
        <w:numPr>
          <w:ilvl w:val="0"/>
          <w:numId w:val="11"/>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Style w:val="29"/>
          <w:rFonts w:ascii="仿宋_GB2312" w:hAnsi="Times New Roman" w:eastAsia="仿宋_GB2312" w:cs="Times New Roman"/>
          <w:snapToGrid w:val="0"/>
          <w:spacing w:val="0"/>
          <w:kern w:val="0"/>
          <w:sz w:val="21"/>
          <w:szCs w:val="21"/>
          <w:shd w:val="clear" w:color="auto" w:fill="auto"/>
        </w:rPr>
      </w:pPr>
      <w:r>
        <w:rPr>
          <w:rFonts w:hint="eastAsia" w:ascii="仿宋_GB2312" w:hAnsi="Times New Roman" w:eastAsia="仿宋_GB2312" w:cs="Times New Roman"/>
          <w:snapToGrid w:val="0"/>
          <w:kern w:val="0"/>
          <w:sz w:val="21"/>
          <w:szCs w:val="21"/>
        </w:rPr>
        <w:t>设计所执行的主要法规和所采用的主要标准（包括标准的名称、编号、年号和版</w:t>
      </w:r>
      <w:r>
        <w:rPr>
          <w:rStyle w:val="29"/>
          <w:rFonts w:hint="eastAsia" w:ascii="仿宋_GB2312" w:hAnsi="Times New Roman" w:eastAsia="仿宋_GB2312" w:cs="Times New Roman"/>
          <w:snapToGrid w:val="0"/>
          <w:spacing w:val="0"/>
          <w:kern w:val="0"/>
          <w:sz w:val="21"/>
          <w:szCs w:val="21"/>
          <w:shd w:val="clear" w:color="auto" w:fill="auto"/>
        </w:rPr>
        <w:t>本号</w:t>
      </w:r>
      <w:r>
        <w:rPr>
          <w:rStyle w:val="29"/>
          <w:rFonts w:hint="eastAsia" w:ascii="仿宋_GB2312" w:hAnsi="Times New Roman" w:eastAsia="仿宋_GB2312" w:cs="Times New Roman"/>
          <w:snapToGrid w:val="0"/>
          <w:spacing w:val="0"/>
          <w:kern w:val="0"/>
          <w:sz w:val="21"/>
          <w:szCs w:val="21"/>
          <w:shd w:val="clear" w:color="auto" w:fill="auto"/>
          <w:lang w:bidi="en-US"/>
        </w:rPr>
        <w:t>）；</w:t>
      </w:r>
    </w:p>
    <w:p>
      <w:pPr>
        <w:pStyle w:val="20"/>
        <w:keepNext w:val="0"/>
        <w:keepLines w:val="0"/>
        <w:pageBreakBefore w:val="0"/>
        <w:widowControl w:val="0"/>
        <w:numPr>
          <w:ilvl w:val="0"/>
          <w:numId w:val="11"/>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项目建议书批复、相关审查意见等文件名称和文号。</w:t>
      </w:r>
    </w:p>
    <w:p>
      <w:pPr>
        <w:pStyle w:val="20"/>
        <w:keepNext w:val="0"/>
        <w:keepLines w:val="0"/>
        <w:pageBreakBefore w:val="0"/>
        <w:widowControl w:val="0"/>
        <w:numPr>
          <w:ilvl w:val="0"/>
          <w:numId w:val="10"/>
        </w:numPr>
        <w:shd w:val="clear" w:color="auto" w:fill="auto"/>
        <w:tabs>
          <w:tab w:val="left" w:pos="567"/>
          <w:tab w:val="left" w:pos="993"/>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设计概述。</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表述建筑的主要特征，如建筑总面积、建筑占地面积、建筑层数和总高、建筑防 火类别、耐火等级、设计使用年限、地震基本烈度、主要结构选型、人防类别、面积和防护等级、地下室防水等级、屋面防水等级等；</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概述建筑物使用功能和工艺要求；</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简述建筑的功能分区、平面布局、立面造型及与周围环境的关系；</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简述建筑的交通组织、垂直交通设施（楼梯、电梯、自动扶梯）的布局，以及所采用的电梯、自动扶梯的功能、数量和吨位、速度等参数；</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建筑防火设计，包括总体消防、建筑单体的防火分区、安全疏散、疏散宽度计算和防火构造等；</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无障碍设计，包括基地总体上、建筑单体内的各种无障碍设施要求等；</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人防设计，包括人防面积、设置部位、人防类别、防护等级、防护单元数量等；</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当建筑在声学、建筑光学、建筑安全防护与维护、电磁波屏蔽等方面有特殊要求 时所采取的特殊技术措施；</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主要的技术经济指标包括能反映建筑工程规模的总建筑面积以及诸如住宅的套型和套数、旅馆的房间数和床位数、医院的病床数、车库的停车位数量等；</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简述建筑的外立面用料及色彩、屋面构造及用料、内部装修使用的主要或特殊建筑材料。</w:t>
      </w:r>
    </w:p>
    <w:p>
      <w:pPr>
        <w:pStyle w:val="20"/>
        <w:keepNext w:val="0"/>
        <w:keepLines w:val="0"/>
        <w:pageBreakBefore w:val="0"/>
        <w:widowControl w:val="0"/>
        <w:numPr>
          <w:ilvl w:val="0"/>
          <w:numId w:val="12"/>
        </w:numPr>
        <w:shd w:val="clear" w:color="auto" w:fill="auto"/>
        <w:tabs>
          <w:tab w:val="left" w:pos="567"/>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对具有特殊防护要求的门窗作必要的说明。</w:t>
      </w:r>
    </w:p>
    <w:p>
      <w:pPr>
        <w:pStyle w:val="20"/>
        <w:keepNext w:val="0"/>
        <w:keepLines w:val="0"/>
        <w:pageBreakBefore w:val="0"/>
        <w:widowControl w:val="0"/>
        <w:shd w:val="clear" w:color="auto" w:fill="auto"/>
        <w:tabs>
          <w:tab w:val="left" w:pos="5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3、多子项工程中的简单子项可用建筑项目主要特征表作综合说明。</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4、对需分期建设的工程，说明分期建设内容和对续建、扩建的设想及相关措施。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幕墙工程和金属、玻璃和膜结构等特殊屋面工程（说明节能、抗风压、气密性、水密性、防水、防火、防护、隔声的设计要求、饰面材质色彩、涂层等主要的技术要求）及其它需要专项设计、制作的工程内容的必要说明。</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6、需提请审批时解决的问题或确定的事项以及其它需要说明的问题。</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left="560" w:firstLine="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7、建筑节能设计说明。</w:t>
      </w:r>
    </w:p>
    <w:p>
      <w:pPr>
        <w:pStyle w:val="20"/>
        <w:keepNext w:val="0"/>
        <w:keepLines w:val="0"/>
        <w:pageBreakBefore w:val="0"/>
        <w:widowControl w:val="0"/>
        <w:numPr>
          <w:ilvl w:val="0"/>
          <w:numId w:val="13"/>
        </w:numPr>
        <w:shd w:val="clear" w:color="auto" w:fill="auto"/>
        <w:tabs>
          <w:tab w:val="left" w:pos="1276"/>
          <w:tab w:val="left" w:pos="1418"/>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13"/>
        </w:numPr>
        <w:shd w:val="clear" w:color="auto" w:fill="auto"/>
        <w:tabs>
          <w:tab w:val="left" w:pos="1276"/>
          <w:tab w:val="left" w:pos="1418"/>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项目所在地的气候分区、建筑分类及围护结构的热工性能限值；</w:t>
      </w:r>
    </w:p>
    <w:p>
      <w:pPr>
        <w:pStyle w:val="20"/>
        <w:keepNext w:val="0"/>
        <w:keepLines w:val="0"/>
        <w:pageBreakBefore w:val="0"/>
        <w:widowControl w:val="0"/>
        <w:numPr>
          <w:ilvl w:val="0"/>
          <w:numId w:val="13"/>
        </w:numPr>
        <w:shd w:val="clear" w:color="auto" w:fill="auto"/>
        <w:tabs>
          <w:tab w:val="left" w:pos="1276"/>
          <w:tab w:val="left" w:pos="1418"/>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简述建筑的节能设计，确定体型系数（按不同气候区要求）、窗墙比、屋顶透光部分比等主要参数，明确屋面、外墙（非透光幕墙）、外窗（透光幕墙）等围护结构的热工性能及节能构造措施。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0"/>
        <w:jc w:val="center"/>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表</w:t>
      </w:r>
      <w:r>
        <w:rPr>
          <w:rFonts w:hint="eastAsia" w:ascii="仿宋_GB2312" w:hAnsi="Times New Roman" w:eastAsia="仿宋_GB2312" w:cs="Times New Roman"/>
          <w:snapToGrid w:val="0"/>
          <w:kern w:val="0"/>
          <w:sz w:val="21"/>
          <w:szCs w:val="21"/>
          <w:lang w:bidi="en-US"/>
        </w:rPr>
        <w:t xml:space="preserve">2  </w:t>
      </w:r>
      <w:r>
        <w:rPr>
          <w:rFonts w:hint="eastAsia" w:ascii="仿宋_GB2312" w:hAnsi="Times New Roman" w:eastAsia="仿宋_GB2312" w:cs="Times New Roman"/>
          <w:snapToGrid w:val="0"/>
          <w:kern w:val="0"/>
          <w:sz w:val="21"/>
          <w:szCs w:val="21"/>
        </w:rPr>
        <w:t>建筑项目主要特征表</w:t>
      </w:r>
    </w:p>
    <w:tbl>
      <w:tblPr>
        <w:tblStyle w:val="10"/>
        <w:tblW w:w="8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3"/>
        <w:gridCol w:w="2371"/>
        <w:gridCol w:w="3051"/>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项目名称</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r>
              <w:rPr>
                <w:rFonts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编号</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建筑总面积</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r>
              <w:rPr>
                <w:rFonts w:asciiTheme="minorEastAsia" w:hAnsiTheme="minorEastAsia"/>
                <w:szCs w:val="21"/>
              </w:rPr>
              <w:t>地上、地下另外分列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建筑占地面积</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建筑层数、总高</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r>
              <w:rPr>
                <w:rFonts w:asciiTheme="minorEastAsia" w:hAnsiTheme="minorEastAsia"/>
                <w:szCs w:val="21"/>
              </w:rPr>
              <w:t>地上、地下分列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建筑防火类别</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耐火等级</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设计使用年限</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地震基本烈度</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主要结构选型</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人防类别和防护等级</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r>
              <w:rPr>
                <w:rFonts w:asciiTheme="minorEastAsia" w:hAnsiTheme="minorEastAsia"/>
                <w:szCs w:val="21"/>
              </w:rPr>
              <w:t>说明平、战时功能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地下室防水等级</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824" w:type="dxa"/>
            <w:gridSpan w:val="2"/>
            <w:shd w:val="clear" w:color="auto" w:fill="auto"/>
            <w:vAlign w:val="center"/>
          </w:tcPr>
          <w:p>
            <w:pPr>
              <w:jc w:val="center"/>
              <w:rPr>
                <w:rFonts w:asciiTheme="minorEastAsia" w:hAnsiTheme="minorEastAsia"/>
                <w:szCs w:val="21"/>
              </w:rPr>
            </w:pPr>
            <w:r>
              <w:rPr>
                <w:rFonts w:asciiTheme="minorEastAsia" w:hAnsiTheme="minorEastAsia"/>
                <w:szCs w:val="21"/>
              </w:rPr>
              <w:t>屋面防水等级</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restart"/>
            <w:shd w:val="clear" w:color="auto" w:fill="auto"/>
            <w:vAlign w:val="center"/>
          </w:tcPr>
          <w:p>
            <w:pPr>
              <w:jc w:val="center"/>
              <w:rPr>
                <w:rFonts w:asciiTheme="minorEastAsia" w:hAnsiTheme="minorEastAsia"/>
                <w:szCs w:val="21"/>
              </w:rPr>
            </w:pPr>
            <w:r>
              <w:rPr>
                <w:rFonts w:asciiTheme="minorEastAsia" w:hAnsiTheme="minorEastAsia"/>
                <w:szCs w:val="21"/>
              </w:rPr>
              <w:t>建</w:t>
            </w:r>
          </w:p>
          <w:p>
            <w:pPr>
              <w:jc w:val="center"/>
              <w:rPr>
                <w:rFonts w:asciiTheme="minorEastAsia" w:hAnsiTheme="minorEastAsia"/>
                <w:szCs w:val="21"/>
              </w:rPr>
            </w:pPr>
            <w:r>
              <w:rPr>
                <w:rFonts w:asciiTheme="minorEastAsia" w:hAnsiTheme="minorEastAsia"/>
                <w:szCs w:val="21"/>
              </w:rPr>
              <w:t>筑</w:t>
            </w:r>
          </w:p>
          <w:p>
            <w:pPr>
              <w:jc w:val="center"/>
              <w:rPr>
                <w:rFonts w:asciiTheme="minorEastAsia" w:hAnsiTheme="minorEastAsia"/>
                <w:szCs w:val="21"/>
              </w:rPr>
            </w:pPr>
            <w:r>
              <w:rPr>
                <w:rFonts w:asciiTheme="minorEastAsia" w:hAnsiTheme="minorEastAsia"/>
                <w:szCs w:val="21"/>
              </w:rPr>
              <w:t>构</w:t>
            </w:r>
          </w:p>
          <w:p>
            <w:pPr>
              <w:jc w:val="center"/>
              <w:rPr>
                <w:rFonts w:asciiTheme="minorEastAsia" w:hAnsiTheme="minorEastAsia"/>
                <w:szCs w:val="21"/>
              </w:rPr>
            </w:pPr>
            <w:r>
              <w:rPr>
                <w:rFonts w:asciiTheme="minorEastAsia" w:hAnsiTheme="minorEastAsia"/>
                <w:szCs w:val="21"/>
              </w:rPr>
              <w:t>造</w:t>
            </w:r>
          </w:p>
          <w:p>
            <w:pPr>
              <w:jc w:val="center"/>
              <w:rPr>
                <w:rFonts w:asciiTheme="minorEastAsia" w:hAnsiTheme="minorEastAsia"/>
                <w:szCs w:val="21"/>
              </w:rPr>
            </w:pPr>
            <w:r>
              <w:rPr>
                <w:rFonts w:asciiTheme="minorEastAsia" w:hAnsiTheme="minorEastAsia"/>
                <w:szCs w:val="21"/>
              </w:rPr>
              <w:t>及</w:t>
            </w:r>
          </w:p>
          <w:p>
            <w:pPr>
              <w:jc w:val="center"/>
              <w:rPr>
                <w:rFonts w:asciiTheme="minorEastAsia" w:hAnsiTheme="minorEastAsia"/>
                <w:szCs w:val="21"/>
              </w:rPr>
            </w:pPr>
            <w:r>
              <w:rPr>
                <w:rFonts w:asciiTheme="minorEastAsia" w:hAnsiTheme="minorEastAsia"/>
                <w:szCs w:val="21"/>
              </w:rPr>
              <w:t>装</w:t>
            </w:r>
          </w:p>
          <w:p>
            <w:pPr>
              <w:jc w:val="center"/>
              <w:rPr>
                <w:rFonts w:asciiTheme="minorEastAsia" w:hAnsiTheme="minorEastAsia"/>
                <w:szCs w:val="21"/>
              </w:rPr>
            </w:pPr>
            <w:r>
              <w:rPr>
                <w:rFonts w:asciiTheme="minorEastAsia" w:hAnsiTheme="minorEastAsia"/>
                <w:szCs w:val="21"/>
              </w:rPr>
              <w:t>修</w:t>
            </w: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墙体</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地面</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楼面</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屋面</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天窗</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门</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窗</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顶棚</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内墙面</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453" w:type="dxa"/>
            <w:vMerge w:val="continue"/>
            <w:shd w:val="clear" w:color="auto" w:fill="auto"/>
            <w:vAlign w:val="center"/>
          </w:tcPr>
          <w:p>
            <w:pPr>
              <w:jc w:val="center"/>
              <w:rPr>
                <w:rFonts w:asciiTheme="minorEastAsia" w:hAnsiTheme="minorEastAsia"/>
                <w:szCs w:val="21"/>
              </w:rPr>
            </w:pPr>
          </w:p>
        </w:tc>
        <w:tc>
          <w:tcPr>
            <w:tcW w:w="2371" w:type="dxa"/>
            <w:shd w:val="clear" w:color="auto" w:fill="auto"/>
            <w:vAlign w:val="center"/>
          </w:tcPr>
          <w:p>
            <w:pPr>
              <w:jc w:val="center"/>
              <w:rPr>
                <w:rFonts w:asciiTheme="minorEastAsia" w:hAnsiTheme="minorEastAsia"/>
                <w:szCs w:val="21"/>
              </w:rPr>
            </w:pPr>
            <w:r>
              <w:rPr>
                <w:rFonts w:asciiTheme="minorEastAsia" w:hAnsiTheme="minorEastAsia"/>
                <w:szCs w:val="21"/>
              </w:rPr>
              <w:t>外墙面</w:t>
            </w:r>
          </w:p>
        </w:tc>
        <w:tc>
          <w:tcPr>
            <w:tcW w:w="3051" w:type="dxa"/>
            <w:shd w:val="clear" w:color="auto" w:fill="auto"/>
            <w:vAlign w:val="center"/>
          </w:tcPr>
          <w:p>
            <w:pPr>
              <w:jc w:val="center"/>
              <w:rPr>
                <w:rFonts w:asciiTheme="minorEastAsia" w:hAnsiTheme="minorEastAsia"/>
                <w:szCs w:val="21"/>
              </w:rPr>
            </w:pPr>
          </w:p>
        </w:tc>
        <w:tc>
          <w:tcPr>
            <w:tcW w:w="2479" w:type="dxa"/>
            <w:shd w:val="clear" w:color="auto" w:fill="auto"/>
            <w:vAlign w:val="center"/>
          </w:tcPr>
          <w:p>
            <w:pPr>
              <w:jc w:val="center"/>
              <w:rPr>
                <w:rFonts w:asciiTheme="minorEastAsia" w:hAnsiTheme="minorEastAsia"/>
                <w:szCs w:val="21"/>
              </w:rPr>
            </w:pPr>
          </w:p>
        </w:tc>
      </w:tr>
    </w:tbl>
    <w:p>
      <w:pPr>
        <w:pStyle w:val="20"/>
        <w:shd w:val="clear" w:color="auto" w:fill="auto"/>
        <w:adjustRightInd w:val="0"/>
        <w:snapToGrid w:val="0"/>
        <w:spacing w:line="240" w:lineRule="auto"/>
        <w:ind w:firstLine="0"/>
        <w:jc w:val="both"/>
        <w:rPr>
          <w:rFonts w:cs="Times New Roman" w:asciiTheme="minorEastAsia" w:hAnsiTheme="minorEastAsia" w:eastAsiaTheme="minorEastAsia"/>
          <w:snapToGrid w:val="0"/>
          <w:kern w:val="0"/>
          <w:sz w:val="21"/>
          <w:szCs w:val="21"/>
        </w:rPr>
      </w:pPr>
      <w:r>
        <w:rPr>
          <w:rFonts w:cs="Times New Roman" w:asciiTheme="minorEastAsia" w:hAnsiTheme="minorEastAsia" w:eastAsiaTheme="minorEastAsia"/>
          <w:snapToGrid w:val="0"/>
          <w:color w:val="000000"/>
          <w:kern w:val="0"/>
          <w:sz w:val="21"/>
          <w:szCs w:val="21"/>
          <w:lang w:val="zh-TW" w:bidi="zh-TW"/>
        </w:rPr>
        <w:t>注</w:t>
      </w:r>
      <w:r>
        <w:rPr>
          <w:rFonts w:cs="Times New Roman" w:asciiTheme="minorEastAsia" w:hAnsiTheme="minorEastAsia" w:eastAsiaTheme="minorEastAsia"/>
          <w:snapToGrid w:val="0"/>
          <w:color w:val="000000"/>
          <w:kern w:val="0"/>
          <w:sz w:val="21"/>
          <w:szCs w:val="21"/>
          <w:lang w:val="zh-TW" w:eastAsia="zh-TW" w:bidi="zh-TW"/>
        </w:rPr>
        <w:t>：建筑构造及装修项目可随工程内容增减。</w:t>
      </w:r>
    </w:p>
    <w:p>
      <w:pPr>
        <w:pStyle w:val="20"/>
        <w:keepNext w:val="0"/>
        <w:keepLines w:val="0"/>
        <w:pageBreakBefore w:val="0"/>
        <w:widowControl w:val="0"/>
        <w:shd w:val="clear" w:color="auto" w:fill="auto"/>
        <w:tabs>
          <w:tab w:val="left" w:pos="993"/>
          <w:tab w:val="left" w:pos="1134"/>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8、项目按绿色建筑要求建设时，应有绿色建筑设计说明。</w:t>
      </w:r>
    </w:p>
    <w:p>
      <w:pPr>
        <w:pStyle w:val="20"/>
        <w:keepNext w:val="0"/>
        <w:keepLines w:val="0"/>
        <w:pageBreakBefore w:val="0"/>
        <w:widowControl w:val="0"/>
        <w:numPr>
          <w:ilvl w:val="0"/>
          <w:numId w:val="14"/>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14"/>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绿色建筑设计的目标和定位；</w:t>
      </w:r>
    </w:p>
    <w:p>
      <w:pPr>
        <w:pStyle w:val="20"/>
        <w:keepNext w:val="0"/>
        <w:keepLines w:val="0"/>
        <w:pageBreakBefore w:val="0"/>
        <w:widowControl w:val="0"/>
        <w:numPr>
          <w:ilvl w:val="0"/>
          <w:numId w:val="14"/>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评价与建筑专业相关的绿色建筑技术选项及相应的指标、做法说明；</w:t>
      </w:r>
    </w:p>
    <w:p>
      <w:pPr>
        <w:pStyle w:val="20"/>
        <w:keepNext w:val="0"/>
        <w:keepLines w:val="0"/>
        <w:pageBreakBefore w:val="0"/>
        <w:widowControl w:val="0"/>
        <w:numPr>
          <w:ilvl w:val="0"/>
          <w:numId w:val="14"/>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简述相关绿色建筑设计的技术措施。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9、项目按照装配式建筑要求建设时，应有装配式建筑设计和内装专项说明。</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(1)设计依据；</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(2)装配式建筑设计的项目特点和定位；</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(3)装配式建筑评价与建筑专业相关的装配式建筑技术选项；</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(4)简述相关装配式建筑设计相关的技术措施。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平面图。</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标明承重结构的轴线、轴线编号、定位尺寸和总尺寸，注明各空间的名称和门窗编号，住宅标注套型内卧室、起居室（厅）、厨房、卫生间等空间的使用面积；</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绘出主要结构和建筑构配件，如非承重墙、壁柱、门窗（幕墙）、天窗、楼梯、电梯、自动扶梯、中庭（及其上空）、夹层、平台、阳台、雨篷、台阶、坡道、散水 明沟等的位置；当围护结构为幕墙时，应标明幕墙与主体结构的定位关系；</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表示主要建筑设备的位置，如水池、卫生器具等与设备专业有关的设备的位置；</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表示建筑平面或空间的防火分区和面积以及安全疏散的内容，宜单独成图；</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标明室内、外地面设计标高及地上、地下各层楼地面标高；</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首层平面标注剖切线位置、编号及指北针；</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绘出有特殊要求或标准的厅、室的室内布置，如家具的布置等；也可根据需要选择绘制标准层、标准单元或标准间的放大平面图及室内布置图；</w:t>
      </w:r>
    </w:p>
    <w:p>
      <w:pPr>
        <w:pStyle w:val="20"/>
        <w:keepNext w:val="0"/>
        <w:keepLines w:val="0"/>
        <w:pageBreakBefore w:val="0"/>
        <w:widowControl w:val="0"/>
        <w:numPr>
          <w:ilvl w:val="0"/>
          <w:numId w:val="16"/>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图纸名称、比例。</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2、立面图。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应选择绘制主要立面，立面图上应标明：</w:t>
      </w:r>
    </w:p>
    <w:p>
      <w:pPr>
        <w:pStyle w:val="20"/>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两端的轴线和编号；</w:t>
      </w:r>
    </w:p>
    <w:p>
      <w:pPr>
        <w:pStyle w:val="20"/>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立面外轮廓及主要结构和建筑部件的可见部分，如门窗（消防救援窗）、幕墙、雨 篷、檐口</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女儿墙）、屋顶、平台、栏杆、坡道、台阶和主要装饰线脚等；</w:t>
      </w:r>
    </w:p>
    <w:p>
      <w:pPr>
        <w:pStyle w:val="20"/>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平、剖面未能表示的屋顶、屋顶高耸物、檐口</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女儿墙）、室外地面等处主要标高或高度；</w:t>
      </w:r>
    </w:p>
    <w:p>
      <w:pPr>
        <w:pStyle w:val="20"/>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主要可见部位的饰面用料；</w:t>
      </w:r>
    </w:p>
    <w:p>
      <w:pPr>
        <w:pStyle w:val="20"/>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图纸名称、比例。</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3、剖面图。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剖面应剖在层高、层数不同、内外空间比较复杂的部位</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如中庭与邻近的楼层或错层部位)，剖面图应准确、清楚地绘示出剖到或看到的各相关部分内容，并应表示：</w:t>
      </w:r>
    </w:p>
    <w:p>
      <w:pPr>
        <w:pStyle w:val="20"/>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主要内、外承重墙、柱的轴线，轴线编号；</w:t>
      </w:r>
    </w:p>
    <w:p>
      <w:pPr>
        <w:pStyle w:val="20"/>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主要结构和建筑构造部件，如：地面、楼板、屋顶、檐口、女儿墙、吊顶、梁、柱、内外门窗、天窗、楼梯、电梯、平台、雨篷、阳台、地沟、地坑、台阶、坡道等；</w:t>
      </w:r>
    </w:p>
    <w:p>
      <w:pPr>
        <w:pStyle w:val="20"/>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各层楼地面和室外标高，以及建筑的总高度，各楼层之间尺寸及其它必需的尺寸等；</w:t>
      </w:r>
    </w:p>
    <w:p>
      <w:pPr>
        <w:pStyle w:val="20"/>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图纸名称、比例。</w:t>
      </w:r>
    </w:p>
    <w:p>
      <w:pPr>
        <w:pStyle w:val="20"/>
        <w:keepNext w:val="0"/>
        <w:keepLines w:val="0"/>
        <w:pageBreakBefore w:val="0"/>
        <w:widowControl w:val="0"/>
        <w:shd w:val="clear" w:color="auto" w:fill="auto"/>
        <w:tabs>
          <w:tab w:val="left" w:pos="104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4、根据需要绘制局部的平面放大图或节点详图。</w:t>
      </w:r>
    </w:p>
    <w:p>
      <w:pPr>
        <w:pStyle w:val="20"/>
        <w:keepNext w:val="0"/>
        <w:keepLines w:val="0"/>
        <w:pageBreakBefore w:val="0"/>
        <w:widowControl w:val="0"/>
        <w:shd w:val="clear" w:color="auto" w:fill="auto"/>
        <w:tabs>
          <w:tab w:val="left" w:pos="104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5、对于贴邻的原有建筑，应绘出其局部的平、立、剖面。</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6、当项目按绿色建筑要求建设时，以上有关图纸应表示相关绿色建筑设计技术的内容。</w:t>
      </w:r>
      <w:bookmarkStart w:id="16" w:name="bookmark16"/>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当项目按装配式建筑要求建设时，设计图纸应表示采用装配式建筑设计技术的内容。(如在平面图中用不同图例注明采用预制构件（柱、剪力墙、围护墙体、凸窗等）位置，立面图中预制构件板块的立面示意及拼缝的位置；表达预制外墙防水、保温、隔声、防火的典型构造大样和建筑构筑配件安装、以及卫生间等有水房间的地板、墙体防水节点大样等。</w:t>
      </w:r>
      <w:bookmarkEnd w:id="16"/>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p>
    <w:p>
      <w:pPr>
        <w:pStyle w:val="20"/>
        <w:keepNext w:val="0"/>
        <w:keepLines w:val="0"/>
        <w:pageBreakBefore w:val="0"/>
        <w:widowControl w:val="0"/>
        <w:shd w:val="clear" w:color="auto" w:fill="auto"/>
        <w:tabs>
          <w:tab w:val="left" w:pos="1134"/>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rPr>
      </w:pPr>
      <w:r>
        <w:rPr>
          <w:rFonts w:hint="eastAsia" w:ascii="华文中宋" w:hAnsi="华文中宋" w:eastAsia="华文中宋" w:cs="Times New Roman"/>
          <w:snapToGrid w:val="0"/>
          <w:kern w:val="0"/>
          <w:sz w:val="21"/>
          <w:szCs w:val="21"/>
          <w:lang w:bidi="en-US"/>
        </w:rPr>
        <w:t>三、</w:t>
      </w:r>
      <w:r>
        <w:rPr>
          <w:rFonts w:hint="eastAsia" w:ascii="华文中宋" w:hAnsi="华文中宋" w:eastAsia="华文中宋" w:cs="Times New Roman"/>
          <w:snapToGrid w:val="0"/>
          <w:kern w:val="0"/>
          <w:sz w:val="21"/>
          <w:szCs w:val="21"/>
        </w:rPr>
        <w:t>结构设计</w:t>
      </w:r>
    </w:p>
    <w:p>
      <w:pPr>
        <w:pStyle w:val="20"/>
        <w:keepNext w:val="0"/>
        <w:keepLines w:val="0"/>
        <w:pageBreakBefore w:val="0"/>
        <w:widowControl w:val="0"/>
        <w:shd w:val="clear" w:color="auto" w:fill="auto"/>
        <w:tabs>
          <w:tab w:val="left" w:pos="1134"/>
        </w:tabs>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设计说明书。</w:t>
      </w:r>
    </w:p>
    <w:p>
      <w:pPr>
        <w:pStyle w:val="20"/>
        <w:keepNext w:val="0"/>
        <w:keepLines w:val="0"/>
        <w:pageBreakBefore w:val="0"/>
        <w:widowControl w:val="0"/>
        <w:numPr>
          <w:ilvl w:val="0"/>
          <w:numId w:val="19"/>
        </w:numPr>
        <w:shd w:val="clear" w:color="auto" w:fill="auto"/>
        <w:tabs>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工程概况。</w:t>
      </w:r>
    </w:p>
    <w:p>
      <w:pPr>
        <w:pStyle w:val="20"/>
        <w:keepNext w:val="0"/>
        <w:keepLines w:val="0"/>
        <w:pageBreakBefore w:val="0"/>
        <w:widowControl w:val="0"/>
        <w:numPr>
          <w:ilvl w:val="0"/>
          <w:numId w:val="20"/>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工程地点，工程周边环境，工程分区，主要功能；</w:t>
      </w:r>
    </w:p>
    <w:p>
      <w:pPr>
        <w:pStyle w:val="20"/>
        <w:keepNext w:val="0"/>
        <w:keepLines w:val="0"/>
        <w:pageBreakBefore w:val="0"/>
        <w:widowControl w:val="0"/>
        <w:numPr>
          <w:ilvl w:val="0"/>
          <w:numId w:val="20"/>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各单体（或分区）建筑的长、宽、高，地上与地下层数，各层层高，主要结构跨度，特殊结构及造型，工业厂房的吊车吨位等。</w:t>
      </w:r>
    </w:p>
    <w:p>
      <w:pPr>
        <w:pStyle w:val="20"/>
        <w:keepNext w:val="0"/>
        <w:keepLines w:val="0"/>
        <w:pageBreakBefore w:val="0"/>
        <w:widowControl w:val="0"/>
        <w:numPr>
          <w:ilvl w:val="0"/>
          <w:numId w:val="19"/>
        </w:numPr>
        <w:shd w:val="clear" w:color="auto" w:fill="auto"/>
        <w:tabs>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主体结构设计使用年限；</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自然条件：基本风压，冻土深度，基本雪压，气温（必要时提供)，抗震设防烈度(包括地震加速度值</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等；</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工程地质勘察报告或可靠的地质参考资料；</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场地地震安全性评价报告（必要时提供</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风洞试验报告（必要时提供</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建设单位提出的与结构有关的符合有关标准、法规的书面要求；</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批准的上一阶段的设计文件；</w:t>
      </w:r>
    </w:p>
    <w:p>
      <w:pPr>
        <w:pStyle w:val="20"/>
        <w:keepNext w:val="0"/>
        <w:keepLines w:val="0"/>
        <w:pageBreakBefore w:val="0"/>
        <w:widowControl w:val="0"/>
        <w:numPr>
          <w:ilvl w:val="0"/>
          <w:numId w:val="21"/>
        </w:numPr>
        <w:shd w:val="clear" w:color="auto" w:fill="auto"/>
        <w:tabs>
          <w:tab w:val="left" w:pos="1047"/>
          <w:tab w:val="left" w:pos="113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本专业设计所执行的主要法规和所采用的主要标准（包括标准的名称、编号、年号和版本号）。</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3、建筑分类等级</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应说明下列建筑分类等级及所依据的规范或批文：</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建筑结构安全等级；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地基基础设计等级；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建筑桩基设计等级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建筑抗震设防类别；</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主体结构类型及抗震等级；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地下室防水等级；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人防地下室的设计类别、防常规武器抗力级别和防核武器抗力级别；</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建筑防火分类等级和耐火等级；</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湿陷性黄土场地建筑物分类；</w:t>
      </w:r>
    </w:p>
    <w:p>
      <w:pPr>
        <w:pStyle w:val="20"/>
        <w:keepNext w:val="0"/>
        <w:keepLines w:val="0"/>
        <w:pageBreakBefore w:val="0"/>
        <w:widowControl w:val="0"/>
        <w:numPr>
          <w:ilvl w:val="0"/>
          <w:numId w:val="22"/>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混凝土构件的环境类别。</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4、主要荷载（作用</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取值。</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楼（屋）面活荷载、特殊设备荷载；</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风荷载（包括地面粗糙度、有条件时说明体型系数、风振系数等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雪荷载</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必要时提供积雪分布系数等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地震作用（包括设计基本地震加速度、设计地震分组、场地类别、场地特征周期、结构阻尼比、水平地震影响系数最大值等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温度作用及地下室水浮力的有关设计参数；</w:t>
      </w:r>
    </w:p>
    <w:p>
      <w:pPr>
        <w:pStyle w:val="20"/>
        <w:keepNext w:val="0"/>
        <w:keepLines w:val="0"/>
        <w:pageBreakBefore w:val="0"/>
        <w:widowControl w:val="0"/>
        <w:numPr>
          <w:ilvl w:val="0"/>
          <w:numId w:val="23"/>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特殊的荷载（作用</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工况组合，包括分项系数及组合系数。</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5、上部及地下室结构设计。</w:t>
      </w:r>
    </w:p>
    <w:p>
      <w:pPr>
        <w:pStyle w:val="20"/>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结构缝</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伸缩缝、沉降缝和防震缝）的设置；</w:t>
      </w:r>
    </w:p>
    <w:p>
      <w:pPr>
        <w:pStyle w:val="20"/>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上部及地下室结构选型及结构布置说明；对于复杂结构，应根据有关规定判定是否为超限工程。</w:t>
      </w:r>
    </w:p>
    <w:p>
      <w:pPr>
        <w:pStyle w:val="20"/>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关键技术问题的解决方法；特殊技术的说明，结构重要节点、支座的说明或简图；</w:t>
      </w:r>
    </w:p>
    <w:p>
      <w:pPr>
        <w:pStyle w:val="20"/>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有抗浮要求的地下室应明确抗浮措施；</w:t>
      </w:r>
    </w:p>
    <w:p>
      <w:pPr>
        <w:pStyle w:val="20"/>
        <w:keepNext w:val="0"/>
        <w:keepLines w:val="0"/>
        <w:pageBreakBefore w:val="0"/>
        <w:widowControl w:val="0"/>
        <w:numPr>
          <w:ilvl w:val="0"/>
          <w:numId w:val="2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结构特殊施工措施、施工要求及其它需要说明的内容。</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6、地基基础设计。</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工程地质和水文地质概况，应包括各主要土层的压缩模量和承载力特征值（或</w:t>
      </w:r>
      <w:r>
        <w:rPr>
          <w:rFonts w:hint="eastAsia" w:ascii="仿宋_GB2312" w:hAnsi="Times New Roman" w:cs="Times New Roman" w:eastAsiaTheme="minorEastAsia"/>
          <w:snapToGrid w:val="0"/>
          <w:kern w:val="0"/>
          <w:sz w:val="21"/>
          <w:szCs w:val="21"/>
        </w:rPr>
        <w:t>桩</w:t>
      </w:r>
      <w:r>
        <w:rPr>
          <w:rFonts w:hint="eastAsia" w:ascii="仿宋_GB2312" w:hAnsi="Times New Roman" w:eastAsia="仿宋_GB2312" w:cs="Times New Roman"/>
          <w:snapToGrid w:val="0"/>
          <w:kern w:val="0"/>
          <w:sz w:val="21"/>
          <w:szCs w:val="21"/>
        </w:rPr>
        <w:t>基设计参数</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地基液化判别，地基土冻胀性和融陷情况，湿陷性黄土地基湿陷登记和类型，膨胀土地基的膨缩等级，抗浮设防水位特殊地质条件（如溶洞）等说明，土及地下水对钢筋、钢材和混凝土的腐蚀性；</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基础选型说明；</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采用天然地基时应说明基础埋置深度和持力层情况；采用</w:t>
      </w:r>
      <w:r>
        <w:rPr>
          <w:rFonts w:hint="eastAsia" w:ascii="仿宋_GB2312" w:hAnsi="Times New Roman" w:cs="Times New Roman"/>
          <w:snapToGrid w:val="0"/>
          <w:kern w:val="0"/>
          <w:sz w:val="21"/>
          <w:szCs w:val="21"/>
        </w:rPr>
        <w:t>粧</w:t>
      </w:r>
      <w:r>
        <w:rPr>
          <w:rFonts w:hint="eastAsia" w:ascii="仿宋_GB2312" w:hAnsi="Times New Roman" w:eastAsia="仿宋_GB2312" w:cs="Times New Roman"/>
          <w:snapToGrid w:val="0"/>
          <w:kern w:val="0"/>
          <w:sz w:val="21"/>
          <w:szCs w:val="21"/>
        </w:rPr>
        <w:t>基时，应说明</w:t>
      </w:r>
      <w:r>
        <w:rPr>
          <w:rFonts w:hint="eastAsia" w:ascii="仿宋_GB2312" w:hAnsi="Times New Roman" w:cs="Times New Roman"/>
          <w:snapToGrid w:val="0"/>
          <w:kern w:val="0"/>
          <w:sz w:val="21"/>
          <w:szCs w:val="21"/>
        </w:rPr>
        <w:t>粧</w:t>
      </w:r>
      <w:r>
        <w:rPr>
          <w:rFonts w:hint="eastAsia" w:ascii="仿宋_GB2312" w:hAnsi="Times New Roman" w:eastAsia="仿宋_GB2312" w:cs="Times New Roman"/>
          <w:snapToGrid w:val="0"/>
          <w:kern w:val="0"/>
          <w:sz w:val="21"/>
          <w:szCs w:val="21"/>
        </w:rPr>
        <w:t>的类型、</w:t>
      </w:r>
      <w:r>
        <w:rPr>
          <w:rFonts w:hint="eastAsia" w:ascii="仿宋_GB2312" w:hAnsi="Times New Roman" w:cs="Times New Roman"/>
          <w:snapToGrid w:val="0"/>
          <w:kern w:val="0"/>
          <w:sz w:val="21"/>
          <w:szCs w:val="21"/>
        </w:rPr>
        <w:t>粧</w:t>
      </w:r>
      <w:r>
        <w:rPr>
          <w:rFonts w:hint="eastAsia" w:ascii="仿宋_GB2312" w:hAnsi="Times New Roman" w:eastAsia="仿宋_GB2312" w:cs="Times New Roman"/>
          <w:snapToGrid w:val="0"/>
          <w:kern w:val="0"/>
          <w:sz w:val="21"/>
          <w:szCs w:val="21"/>
        </w:rPr>
        <w:t>端持力层及进入持力层的深度、承台埋深；采用地基处理时，应说明地基处理要求；</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关键技术问题的解决方法；</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必要时应说明对既有建筑物、构筑物、市政设施和道路等的影响和保护措施；</w:t>
      </w:r>
    </w:p>
    <w:p>
      <w:pPr>
        <w:pStyle w:val="20"/>
        <w:keepNext w:val="0"/>
        <w:keepLines w:val="0"/>
        <w:pageBreakBefore w:val="0"/>
        <w:widowControl w:val="0"/>
        <w:numPr>
          <w:ilvl w:val="0"/>
          <w:numId w:val="2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施工特殊要求及其他需要说明的内容。</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7、结构分析。</w:t>
      </w:r>
    </w:p>
    <w:p>
      <w:pPr>
        <w:pStyle w:val="20"/>
        <w:keepNext w:val="0"/>
        <w:keepLines w:val="0"/>
        <w:pageBreakBefore w:val="0"/>
        <w:widowControl w:val="0"/>
        <w:numPr>
          <w:ilvl w:val="0"/>
          <w:numId w:val="2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采用的结构分析程序名称、版本号、编制单位；复杂结构或重要建筑应至少采用两种不同的计算程序；</w:t>
      </w:r>
    </w:p>
    <w:p>
      <w:pPr>
        <w:pStyle w:val="20"/>
        <w:keepNext w:val="0"/>
        <w:keepLines w:val="0"/>
        <w:pageBreakBefore w:val="0"/>
        <w:widowControl w:val="0"/>
        <w:numPr>
          <w:ilvl w:val="0"/>
          <w:numId w:val="2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结构分析所采用的计算模型、整体计算嵌固部位，结构分析输入的主要参数，必要时附计算模型简图；</w:t>
      </w:r>
    </w:p>
    <w:p>
      <w:pPr>
        <w:pStyle w:val="20"/>
        <w:keepNext w:val="0"/>
        <w:keepLines w:val="0"/>
        <w:pageBreakBefore w:val="0"/>
        <w:widowControl w:val="0"/>
        <w:numPr>
          <w:ilvl w:val="0"/>
          <w:numId w:val="2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列出主要控制性计算结果，可以采用图表方式表示；对计算结果进行必要的分析和说明，并根据有关规定进行结构超限情况判定。</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8、主要结构材料。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混凝土强度等级、钢筋种类、砌体强度等级、砂浆强度等级、钢绞线或高强钢丝种类、钢材牌号、预制构件连接材料、密封材料、特殊材料等。特殊材料或产品（如成品拉索、锚 具、铸钢件、成品支座、消能减震器、高强螺栓等</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的说明等。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9、其他需要说明的内容。</w:t>
      </w:r>
    </w:p>
    <w:p>
      <w:pPr>
        <w:pStyle w:val="20"/>
        <w:keepNext w:val="0"/>
        <w:keepLines w:val="0"/>
        <w:pageBreakBefore w:val="0"/>
        <w:widowControl w:val="0"/>
        <w:numPr>
          <w:ilvl w:val="0"/>
          <w:numId w:val="2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必要时应提出的试验要求，如风洞试验、振动台试验、节点试验等；</w:t>
      </w:r>
    </w:p>
    <w:p>
      <w:pPr>
        <w:pStyle w:val="20"/>
        <w:keepNext w:val="0"/>
        <w:keepLines w:val="0"/>
        <w:pageBreakBefore w:val="0"/>
        <w:widowControl w:val="0"/>
        <w:numPr>
          <w:ilvl w:val="0"/>
          <w:numId w:val="2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进一步的地质勘察要求、试</w:t>
      </w:r>
      <w:r>
        <w:rPr>
          <w:rFonts w:hint="eastAsia" w:ascii="仿宋_GB2312" w:hAnsi="Times New Roman" w:cs="Times New Roman"/>
          <w:snapToGrid w:val="0"/>
          <w:kern w:val="0"/>
          <w:sz w:val="21"/>
          <w:szCs w:val="21"/>
        </w:rPr>
        <w:t>粧</w:t>
      </w:r>
      <w:r>
        <w:rPr>
          <w:rFonts w:hint="eastAsia" w:ascii="仿宋_GB2312" w:hAnsi="Times New Roman" w:eastAsia="仿宋_GB2312" w:cs="Times New Roman"/>
          <w:snapToGrid w:val="0"/>
          <w:kern w:val="0"/>
          <w:sz w:val="21"/>
          <w:szCs w:val="21"/>
        </w:rPr>
        <w:t>要求等；</w:t>
      </w:r>
    </w:p>
    <w:p>
      <w:pPr>
        <w:pStyle w:val="20"/>
        <w:keepNext w:val="0"/>
        <w:keepLines w:val="0"/>
        <w:pageBreakBefore w:val="0"/>
        <w:widowControl w:val="0"/>
        <w:numPr>
          <w:ilvl w:val="0"/>
          <w:numId w:val="2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尚需建设单位进一步明确的要求；</w:t>
      </w:r>
    </w:p>
    <w:p>
      <w:pPr>
        <w:pStyle w:val="20"/>
        <w:keepNext w:val="0"/>
        <w:keepLines w:val="0"/>
        <w:pageBreakBefore w:val="0"/>
        <w:widowControl w:val="0"/>
        <w:numPr>
          <w:ilvl w:val="0"/>
          <w:numId w:val="2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对需要进行抗震设防专项审查和其他专项论证的项目应明确说明；</w:t>
      </w:r>
    </w:p>
    <w:p>
      <w:pPr>
        <w:pStyle w:val="20"/>
        <w:keepNext w:val="0"/>
        <w:keepLines w:val="0"/>
        <w:pageBreakBefore w:val="0"/>
        <w:widowControl w:val="0"/>
        <w:numPr>
          <w:ilvl w:val="0"/>
          <w:numId w:val="27"/>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提请在设计审批时需解决或确定的主要问题。</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10、当项目按绿色建筑要求建设时，应有绿色建筑设计说明。</w:t>
      </w:r>
    </w:p>
    <w:p>
      <w:pPr>
        <w:pStyle w:val="20"/>
        <w:keepNext w:val="0"/>
        <w:keepLines w:val="0"/>
        <w:pageBreakBefore w:val="0"/>
        <w:widowControl w:val="0"/>
        <w:numPr>
          <w:ilvl w:val="0"/>
          <w:numId w:val="2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绿色建筑设计目标；</w:t>
      </w:r>
    </w:p>
    <w:p>
      <w:pPr>
        <w:pStyle w:val="20"/>
        <w:keepNext w:val="0"/>
        <w:keepLines w:val="0"/>
        <w:pageBreakBefore w:val="0"/>
        <w:widowControl w:val="0"/>
        <w:numPr>
          <w:ilvl w:val="0"/>
          <w:numId w:val="28"/>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按设计星级所有控制项、评分项及加分项的要求，阐述采用的各项措施。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11、当项目按装配式建筑要求建设时，应增加以下内容。</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装配式建筑结构设计目标及结构技术总述；</w:t>
      </w:r>
    </w:p>
    <w:p>
      <w:pPr>
        <w:pStyle w:val="20"/>
        <w:keepNext w:val="0"/>
        <w:keepLines w:val="0"/>
        <w:pageBreakBefore w:val="0"/>
        <w:widowControl w:val="0"/>
        <w:numPr>
          <w:ilvl w:val="0"/>
          <w:numId w:val="29"/>
        </w:numPr>
        <w:shd w:val="clear" w:color="auto" w:fill="auto"/>
        <w:tabs>
          <w:tab w:val="left" w:pos="985"/>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预制构件分布情况说明；预制构件技术相关说明，包括预制构件混凝土强度等级、钢筋种类、钢筋保护层等；结构典型连接方式（包括结构受力构件和非受力构件等连接</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施工、吊装、临时支撑等特殊要求及其他需要说明的内容等；</w:t>
      </w:r>
    </w:p>
    <w:p>
      <w:pPr>
        <w:pStyle w:val="20"/>
        <w:keepNext w:val="0"/>
        <w:keepLines w:val="0"/>
        <w:pageBreakBefore w:val="0"/>
        <w:widowControl w:val="0"/>
        <w:numPr>
          <w:ilvl w:val="0"/>
          <w:numId w:val="29"/>
        </w:numPr>
        <w:shd w:val="clear" w:color="auto" w:fill="auto"/>
        <w:tabs>
          <w:tab w:val="left" w:pos="985"/>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对预制构件脱模、翻转等要求</w:t>
      </w:r>
    </w:p>
    <w:p>
      <w:pPr>
        <w:pStyle w:val="20"/>
        <w:keepNext w:val="0"/>
        <w:keepLines w:val="0"/>
        <w:pageBreakBefore w:val="0"/>
        <w:widowControl w:val="0"/>
        <w:shd w:val="clear" w:color="auto" w:fill="auto"/>
        <w:tabs>
          <w:tab w:val="left" w:pos="985"/>
        </w:tabs>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1、基础平面图及主要基础构件的截面尺寸；</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2、主要楼层结构平面布置图，注明主要的定位尺寸、主要构件的截面尺寸；结构平面图不能表示清楚的结构或构件，可采用立面图、剖面图、轴测图等方法表示；</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3、结构主要或关键性节点、支座示意图；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4、伸缩缝、沉降缝、防震缝、施工后浇带的位置和宽度应在相应平面图中表示。</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(三)</w:t>
      </w:r>
      <w:r>
        <w:rPr>
          <w:rFonts w:hint="eastAsia" w:ascii="仿宋_GB2312" w:hAnsi="Times New Roman" w:eastAsia="仿宋_GB2312" w:cs="Times New Roman"/>
          <w:b/>
          <w:snapToGrid w:val="0"/>
          <w:kern w:val="0"/>
          <w:sz w:val="21"/>
          <w:szCs w:val="21"/>
        </w:rPr>
        <w:t>建筑结构工程超限设计可行性论证报告。</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1、工程概况、设计依据、建筑分类等级、主要荷载（作用</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取值、结构选型、布置和材料。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2、结构超限类型和程度判别。</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3、抗震性能目标：明确抗震性能等级，确定关键构件、普通构件和耗能构件，提出各类构件对应的性能水准；确定结构在多遇地震（小震）、设防烈度地震（中震</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和罕遇地震（大震）下的层间位移角限值；应列表表示各类构件在小震、中震和大震下的具体性能水准。</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4、有性能设计时，明确结构限值指标：对与有关规范限值不一致的取值应加以说明。</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5、结构计算文件：应包括结构分析程序名称、版本号、编制单位；结构分析所采用的计算模型</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包括楼板假定）、整体计算嵌固部位、结构分析输入的主要参数等；应有对应结构限值指标的各种计算结果，计算结果宜以曲线或表格形式表达。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静力弹性分析：应给出两种不同软件的扭转耦联振型分解反应谱法的主要控制性结果；采用等效弹性法进行中、大震结构分析时，应明确对应的等效阻尼比、特征周期、连梁刚度折减系数、分项系数、内力调整系数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弹性时程分析：给出输入的双向或三向地震波时程记录、峰值加速度、天然波站台名称，并应将地震波转换成反应谱与规范反应谱进行比较；计算结果应整理成曲线，并应将弹性时程分析结果与扭转耦联振型分解反应谱法结果进行对比分析，并按规范规定确认其合理性和有效性。</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静力弹塑性分析：应说明分析方法、加载模式、塑性铰定义，给出能力谱和需求谱及性能点，给出中、大震下的等效阻尼比、层间位移角曲线、层剪力曲线、各类构件的出铰位置、状态及出铰顺序并加以分析。</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弹塑性时程分析：说明分析方法、本构关系、层间位移角曲线、层剪力曲线、各类构件的损伤位置及状态及损伤顺序并加以分析。应将弹塑性时程分析与对应的弹性时程分析结果进行对比，找出薄弱层及薄弱部位。</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10、楼板应力分析：对楼板不连续或竖向构件不连续等特殊情况，给出大震下的楼板应力分析结果，验算楼板受剪承载力。</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11、关键节点、特殊构件及特殊作用工况下的计算分析。</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12、大跨空间结构的稳定分析，必要时进行大震下考虑几何和材料双非线性的弹塑性分析。</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13、超长结构必要时，应按有关规范的要求，给出考虑行波效应的多点多维地震波输入的分析比较。</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14、必要时，给出高层和大跨空间结构连续倒塌分析、徐变分析和施工模拟分析。</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15、结构抗震加强措施及超限论证结论。</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(四)</w:t>
      </w:r>
      <w:r>
        <w:rPr>
          <w:rFonts w:hint="eastAsia" w:ascii="仿宋_GB2312" w:hAnsi="Times New Roman" w:eastAsia="仿宋_GB2312" w:cs="Times New Roman"/>
          <w:b/>
          <w:snapToGrid w:val="0"/>
          <w:kern w:val="0"/>
          <w:sz w:val="21"/>
          <w:szCs w:val="21"/>
        </w:rPr>
        <w:t>计算书。</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bookmarkStart w:id="17" w:name="bookmark17"/>
      <w:r>
        <w:rPr>
          <w:rFonts w:hint="eastAsia" w:ascii="仿宋_GB2312" w:hAnsi="Times New Roman" w:eastAsia="仿宋_GB2312" w:cs="Times New Roman"/>
          <w:snapToGrid w:val="0"/>
          <w:kern w:val="0"/>
          <w:sz w:val="21"/>
          <w:szCs w:val="21"/>
        </w:rPr>
        <w:t>计算书应包括荷载作用统计、结构整体计算、基础计算等必要的内容，计算书经校审后保存。</w:t>
      </w:r>
      <w:bookmarkEnd w:id="17"/>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rPr>
      </w:pPr>
      <w:r>
        <w:rPr>
          <w:rFonts w:hint="eastAsia" w:ascii="华文中宋" w:hAnsi="华文中宋" w:eastAsia="华文中宋" w:cs="Times New Roman"/>
          <w:snapToGrid w:val="0"/>
          <w:kern w:val="0"/>
          <w:sz w:val="21"/>
          <w:szCs w:val="21"/>
          <w:lang w:bidi="en-US"/>
        </w:rPr>
        <w:t>四、</w:t>
      </w:r>
      <w:r>
        <w:rPr>
          <w:rFonts w:hint="eastAsia" w:ascii="华文中宋" w:hAnsi="华文中宋" w:eastAsia="华文中宋" w:cs="Times New Roman"/>
          <w:snapToGrid w:val="0"/>
          <w:kern w:val="0"/>
          <w:sz w:val="21"/>
          <w:szCs w:val="21"/>
        </w:rPr>
        <w:t>建筑电气</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设计说明书。</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1、设计依据。</w:t>
      </w:r>
    </w:p>
    <w:p>
      <w:pPr>
        <w:pStyle w:val="20"/>
        <w:keepNext w:val="0"/>
        <w:keepLines w:val="0"/>
        <w:pageBreakBefore w:val="0"/>
        <w:widowControl w:val="0"/>
        <w:numPr>
          <w:ilvl w:val="0"/>
          <w:numId w:val="30"/>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工程概况：应说明建筑的建设地点、自然环境、建筑类别、性质、面积、层数、高度、结构类型等；</w:t>
      </w:r>
    </w:p>
    <w:p>
      <w:pPr>
        <w:pStyle w:val="20"/>
        <w:keepNext w:val="0"/>
        <w:keepLines w:val="0"/>
        <w:pageBreakBefore w:val="0"/>
        <w:widowControl w:val="0"/>
        <w:numPr>
          <w:ilvl w:val="0"/>
          <w:numId w:val="30"/>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建设单位提供的有关部门</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如：供电部门、消防部门、通信部门、公安部门等</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认定的工程设计资料，建设单位设计任务书及设计要求；</w:t>
      </w:r>
    </w:p>
    <w:p>
      <w:pPr>
        <w:pStyle w:val="20"/>
        <w:keepNext w:val="0"/>
        <w:keepLines w:val="0"/>
        <w:pageBreakBefore w:val="0"/>
        <w:widowControl w:val="0"/>
        <w:numPr>
          <w:ilvl w:val="0"/>
          <w:numId w:val="30"/>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相关专业提供给本专业的工程设计资料；</w:t>
      </w:r>
    </w:p>
    <w:p>
      <w:pPr>
        <w:pStyle w:val="20"/>
        <w:keepNext w:val="0"/>
        <w:keepLines w:val="0"/>
        <w:pageBreakBefore w:val="0"/>
        <w:widowControl w:val="0"/>
        <w:numPr>
          <w:ilvl w:val="0"/>
          <w:numId w:val="30"/>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设计所执行的主要法规和所采用的主要标准（包括标准的名称、编号、年号和版</w:t>
      </w:r>
      <w:r>
        <w:rPr>
          <w:rStyle w:val="29"/>
          <w:rFonts w:hint="eastAsia" w:ascii="仿宋_GB2312" w:hAnsi="Times New Roman" w:eastAsia="仿宋_GB2312" w:cs="Times New Roman"/>
          <w:snapToGrid w:val="0"/>
          <w:spacing w:val="0"/>
          <w:kern w:val="0"/>
          <w:sz w:val="21"/>
          <w:szCs w:val="21"/>
          <w:shd w:val="clear" w:color="auto" w:fill="auto"/>
        </w:rPr>
        <w:t>本号</w:t>
      </w:r>
      <w:r>
        <w:rPr>
          <w:rStyle w:val="29"/>
          <w:rFonts w:hint="eastAsia" w:ascii="仿宋_GB2312" w:hAnsi="Times New Roman" w:eastAsia="仿宋_GB2312" w:cs="Times New Roman"/>
          <w:snapToGrid w:val="0"/>
          <w:spacing w:val="0"/>
          <w:kern w:val="0"/>
          <w:sz w:val="21"/>
          <w:szCs w:val="21"/>
          <w:shd w:val="clear" w:color="auto" w:fill="auto"/>
          <w:lang w:bidi="en-US"/>
        </w:rPr>
        <w:t>）；</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设计范围。</w:t>
      </w:r>
    </w:p>
    <w:p>
      <w:pPr>
        <w:pStyle w:val="20"/>
        <w:keepNext w:val="0"/>
        <w:keepLines w:val="0"/>
        <w:pageBreakBefore w:val="0"/>
        <w:widowControl w:val="0"/>
        <w:numPr>
          <w:ilvl w:val="0"/>
          <w:numId w:val="31"/>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根据设计任务书和有关设计资料说明本专业的设计内容，以及与二次装修电气设计、照明专项设计、智能化专项设计等相关专项设计，以及其它工艺设计的分工与分工界面；</w:t>
      </w:r>
    </w:p>
    <w:p>
      <w:pPr>
        <w:pStyle w:val="20"/>
        <w:keepNext w:val="0"/>
        <w:keepLines w:val="0"/>
        <w:pageBreakBefore w:val="0"/>
        <w:widowControl w:val="0"/>
        <w:numPr>
          <w:ilvl w:val="0"/>
          <w:numId w:val="31"/>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拟设置的建筑电气系统。</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变、配、发电系统。</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确定负荷等级和各级别负荷容量；</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确定供电电源及电压等级，要求电源容量及回路数、专用线或非专用线、线路路 由及敷设方式、近远期发展情况；</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备用电源和应急电源容量确定原则及性能要求，有自备发电机时，说明启动、停机方式及与城市电网关系；</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高、低压配电系统接线型式及运行方式：正常工作电源与备用电源之间的关系；母线联络开关运行和切换方式；变压器之间低压侧联络方式；重要负荷的供电方式；</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变、配、发电站的位置、数量及型式，设备技术条件和选型要求；</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容量：包括设备安装容量、计算有功、无功、视在容量，变压器、发电机的台数、容量、负载率；</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继电保护装置的设置；</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操作电源和信号：说明高、低压设备的操作电源，以及运行信号装置配置情况；</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电能计量装置：采用高压或低压；专用柜或非专用柜（满足供电部门要求和建设单位内部核算要求</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监测仪表的配置情况；</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功率因数补偿方式：说明功率因数是否达到供用电规则的要求，应补偿容量和采 取的补偿方式和补偿后的结果；</w:t>
      </w:r>
    </w:p>
    <w:p>
      <w:pPr>
        <w:pStyle w:val="20"/>
        <w:keepNext w:val="0"/>
        <w:keepLines w:val="0"/>
        <w:pageBreakBefore w:val="0"/>
        <w:widowControl w:val="0"/>
        <w:numPr>
          <w:ilvl w:val="0"/>
          <w:numId w:val="32"/>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谐波：说明谐波状况及治理措施。</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配电系统。</w:t>
      </w:r>
    </w:p>
    <w:p>
      <w:pPr>
        <w:pStyle w:val="20"/>
        <w:keepNext w:val="0"/>
        <w:keepLines w:val="0"/>
        <w:pageBreakBefore w:val="0"/>
        <w:widowControl w:val="0"/>
        <w:numPr>
          <w:ilvl w:val="0"/>
          <w:numId w:val="3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供电方式；</w:t>
      </w:r>
    </w:p>
    <w:p>
      <w:pPr>
        <w:pStyle w:val="20"/>
        <w:keepNext w:val="0"/>
        <w:keepLines w:val="0"/>
        <w:pageBreakBefore w:val="0"/>
        <w:widowControl w:val="0"/>
        <w:numPr>
          <w:ilvl w:val="0"/>
          <w:numId w:val="3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供配电线路导体选择及敷设方式：高、低压进出线路的型号及敷设方式；选用导线、电缆、母干线的材质和类别；</w:t>
      </w:r>
    </w:p>
    <w:p>
      <w:pPr>
        <w:pStyle w:val="20"/>
        <w:keepNext w:val="0"/>
        <w:keepLines w:val="0"/>
        <w:pageBreakBefore w:val="0"/>
        <w:widowControl w:val="0"/>
        <w:numPr>
          <w:ilvl w:val="0"/>
          <w:numId w:val="3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开关、插座、配电箱、控制箱等配电设备选型及安装方式；</w:t>
      </w:r>
    </w:p>
    <w:p>
      <w:pPr>
        <w:pStyle w:val="20"/>
        <w:keepNext w:val="0"/>
        <w:keepLines w:val="0"/>
        <w:pageBreakBefore w:val="0"/>
        <w:widowControl w:val="0"/>
        <w:numPr>
          <w:ilvl w:val="0"/>
          <w:numId w:val="33"/>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电动机启动及控制方式的选择。</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照明系统。</w:t>
      </w:r>
    </w:p>
    <w:p>
      <w:pPr>
        <w:pStyle w:val="20"/>
        <w:keepNext w:val="0"/>
        <w:keepLines w:val="0"/>
        <w:pageBreakBefore w:val="0"/>
        <w:widowControl w:val="0"/>
        <w:numPr>
          <w:ilvl w:val="0"/>
          <w:numId w:val="3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照明种类及主要场所照度标准、照明功率密度值等指标；</w:t>
      </w:r>
    </w:p>
    <w:p>
      <w:pPr>
        <w:pStyle w:val="20"/>
        <w:keepNext w:val="0"/>
        <w:keepLines w:val="0"/>
        <w:pageBreakBefore w:val="0"/>
        <w:widowControl w:val="0"/>
        <w:numPr>
          <w:ilvl w:val="0"/>
          <w:numId w:val="3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光源、灯具及附件的选择、照明灯具的安装及控制方式；若设置应急照明，应说明应急照明的照度值、电源型式、灯具配置、控制方式、持续时间等。</w:t>
      </w:r>
    </w:p>
    <w:p>
      <w:pPr>
        <w:pStyle w:val="20"/>
        <w:keepNext w:val="0"/>
        <w:keepLines w:val="0"/>
        <w:pageBreakBefore w:val="0"/>
        <w:widowControl w:val="0"/>
        <w:numPr>
          <w:ilvl w:val="0"/>
          <w:numId w:val="3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室外照明的种类</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如路灯、庭园灯、草坪灯、地灯、泛光照明、水下照明等）、电压等级、光源选择及其控制方法等；</w:t>
      </w:r>
    </w:p>
    <w:p>
      <w:pPr>
        <w:pStyle w:val="20"/>
        <w:keepNext w:val="0"/>
        <w:keepLines w:val="0"/>
        <w:pageBreakBefore w:val="0"/>
        <w:widowControl w:val="0"/>
        <w:numPr>
          <w:ilvl w:val="0"/>
          <w:numId w:val="34"/>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对有二次装修照明和照明专项设计的场所，应说明照明配电箱设计原则、容量及供电要求。</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电气节能及环保措施。</w:t>
      </w:r>
    </w:p>
    <w:p>
      <w:pPr>
        <w:pStyle w:val="20"/>
        <w:keepNext w:val="0"/>
        <w:keepLines w:val="0"/>
        <w:pageBreakBefore w:val="0"/>
        <w:widowControl w:val="0"/>
        <w:numPr>
          <w:ilvl w:val="0"/>
          <w:numId w:val="3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拟采用的电气节能和环保措施；</w:t>
      </w:r>
    </w:p>
    <w:p>
      <w:pPr>
        <w:pStyle w:val="20"/>
        <w:keepNext w:val="0"/>
        <w:keepLines w:val="0"/>
        <w:pageBreakBefore w:val="0"/>
        <w:widowControl w:val="0"/>
        <w:numPr>
          <w:ilvl w:val="0"/>
          <w:numId w:val="3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表述电气节能、环保产品的选用情况。</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绿色建筑电气设计。</w:t>
      </w:r>
    </w:p>
    <w:p>
      <w:pPr>
        <w:pStyle w:val="20"/>
        <w:keepNext w:val="0"/>
        <w:keepLines w:val="0"/>
        <w:pageBreakBefore w:val="0"/>
        <w:widowControl w:val="0"/>
        <w:numPr>
          <w:ilvl w:val="0"/>
          <w:numId w:val="3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绿色建筑电气设计概况；</w:t>
      </w:r>
    </w:p>
    <w:p>
      <w:pPr>
        <w:pStyle w:val="20"/>
        <w:keepNext w:val="0"/>
        <w:keepLines w:val="0"/>
        <w:pageBreakBefore w:val="0"/>
        <w:widowControl w:val="0"/>
        <w:numPr>
          <w:ilvl w:val="0"/>
          <w:numId w:val="3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建筑电气节能与能源利用设计内容；</w:t>
      </w:r>
    </w:p>
    <w:p>
      <w:pPr>
        <w:pStyle w:val="20"/>
        <w:keepNext w:val="0"/>
        <w:keepLines w:val="0"/>
        <w:pageBreakBefore w:val="0"/>
        <w:widowControl w:val="0"/>
        <w:numPr>
          <w:ilvl w:val="0"/>
          <w:numId w:val="3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建筑电气室内环境质量设计内容；</w:t>
      </w:r>
    </w:p>
    <w:p>
      <w:pPr>
        <w:pStyle w:val="20"/>
        <w:keepNext w:val="0"/>
        <w:keepLines w:val="0"/>
        <w:pageBreakBefore w:val="0"/>
        <w:widowControl w:val="0"/>
        <w:numPr>
          <w:ilvl w:val="0"/>
          <w:numId w:val="3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建筑电气运营管理设计内容。</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装配式建筑电气设计。</w:t>
      </w:r>
    </w:p>
    <w:p>
      <w:pPr>
        <w:pStyle w:val="20"/>
        <w:keepNext w:val="0"/>
        <w:keepLines w:val="0"/>
        <w:pageBreakBefore w:val="0"/>
        <w:widowControl w:val="0"/>
        <w:numPr>
          <w:ilvl w:val="0"/>
          <w:numId w:val="3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装配式建筑电气设计概况；</w:t>
      </w:r>
    </w:p>
    <w:p>
      <w:pPr>
        <w:pStyle w:val="20"/>
        <w:keepNext w:val="0"/>
        <w:keepLines w:val="0"/>
        <w:pageBreakBefore w:val="0"/>
        <w:widowControl w:val="0"/>
        <w:numPr>
          <w:ilvl w:val="0"/>
          <w:numId w:val="3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建筑电气设备、管线及附件等在预制构件中的敷设方式及处理原则；</w:t>
      </w:r>
    </w:p>
    <w:p>
      <w:pPr>
        <w:pStyle w:val="20"/>
        <w:keepNext w:val="0"/>
        <w:keepLines w:val="0"/>
        <w:pageBreakBefore w:val="0"/>
        <w:widowControl w:val="0"/>
        <w:numPr>
          <w:ilvl w:val="0"/>
          <w:numId w:val="3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电气专业在预制构件中预留空洞、沟槽、预埋管线等布置的设计原则；</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防雷。</w:t>
      </w:r>
    </w:p>
    <w:p>
      <w:pPr>
        <w:pStyle w:val="20"/>
        <w:keepNext w:val="0"/>
        <w:keepLines w:val="0"/>
        <w:pageBreakBefore w:val="0"/>
        <w:widowControl w:val="0"/>
        <w:numPr>
          <w:ilvl w:val="0"/>
          <w:numId w:val="3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确定建筑物防雷类别、建筑物电子信息系统雷电防护等级；</w:t>
      </w:r>
    </w:p>
    <w:p>
      <w:pPr>
        <w:pStyle w:val="20"/>
        <w:keepNext w:val="0"/>
        <w:keepLines w:val="0"/>
        <w:pageBreakBefore w:val="0"/>
        <w:widowControl w:val="0"/>
        <w:numPr>
          <w:ilvl w:val="0"/>
          <w:numId w:val="3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防直接雷击、防侧击、防雷击电磁脉冲等的措施；</w:t>
      </w:r>
    </w:p>
    <w:p>
      <w:pPr>
        <w:pStyle w:val="20"/>
        <w:keepNext w:val="0"/>
        <w:keepLines w:val="0"/>
        <w:pageBreakBefore w:val="0"/>
        <w:widowControl w:val="0"/>
        <w:numPr>
          <w:ilvl w:val="0"/>
          <w:numId w:val="3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当利用建筑物、构筑物混凝土内钢筋做接闪器、引下线、接地装置时，应说明采取的措施和要求。当采用装配式时应说明引下线的设置方式及确保有效接地所采用的措施。</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接地及安全措施。</w:t>
      </w:r>
    </w:p>
    <w:p>
      <w:pPr>
        <w:pStyle w:val="20"/>
        <w:keepNext w:val="0"/>
        <w:keepLines w:val="0"/>
        <w:pageBreakBefore w:val="0"/>
        <w:widowControl w:val="0"/>
        <w:numPr>
          <w:ilvl w:val="0"/>
          <w:numId w:val="3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各系统要求接地的种类及接地电阻要求；</w:t>
      </w:r>
    </w:p>
    <w:p>
      <w:pPr>
        <w:pStyle w:val="20"/>
        <w:keepNext w:val="0"/>
        <w:keepLines w:val="0"/>
        <w:pageBreakBefore w:val="0"/>
        <w:widowControl w:val="0"/>
        <w:numPr>
          <w:ilvl w:val="0"/>
          <w:numId w:val="3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等电位设置要求；</w:t>
      </w:r>
    </w:p>
    <w:p>
      <w:pPr>
        <w:pStyle w:val="20"/>
        <w:keepNext w:val="0"/>
        <w:keepLines w:val="0"/>
        <w:pageBreakBefore w:val="0"/>
        <w:widowControl w:val="0"/>
        <w:numPr>
          <w:ilvl w:val="0"/>
          <w:numId w:val="3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接地装置要求，当接地装置需作特殊处理时应说明采取的措施、方法等；</w:t>
      </w:r>
    </w:p>
    <w:p>
      <w:pPr>
        <w:pStyle w:val="20"/>
        <w:keepNext w:val="0"/>
        <w:keepLines w:val="0"/>
        <w:pageBreakBefore w:val="0"/>
        <w:widowControl w:val="0"/>
        <w:numPr>
          <w:ilvl w:val="0"/>
          <w:numId w:val="3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安全接地及特殊接地的措施。</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电气消防</w:t>
      </w:r>
    </w:p>
    <w:p>
      <w:pPr>
        <w:pStyle w:val="20"/>
        <w:keepNext w:val="0"/>
        <w:keepLines w:val="0"/>
        <w:pageBreakBefore w:val="0"/>
        <w:widowControl w:val="0"/>
        <w:shd w:val="clear" w:color="auto" w:fill="auto"/>
        <w:tabs>
          <w:tab w:val="left" w:pos="993"/>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(1)电气火灾监控系统。</w:t>
      </w:r>
    </w:p>
    <w:p>
      <w:pPr>
        <w:pStyle w:val="20"/>
        <w:keepNext w:val="0"/>
        <w:keepLines w:val="0"/>
        <w:pageBreakBefore w:val="0"/>
        <w:widowControl w:val="0"/>
        <w:numPr>
          <w:ilvl w:val="0"/>
          <w:numId w:val="40"/>
        </w:numPr>
        <w:shd w:val="clear" w:color="auto" w:fill="auto"/>
        <w:tabs>
          <w:tab w:val="left" w:pos="993"/>
          <w:tab w:val="left" w:pos="139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按建筑性质确定保护设置的方式、要求和系统组成；</w:t>
      </w:r>
    </w:p>
    <w:p>
      <w:pPr>
        <w:pStyle w:val="20"/>
        <w:keepNext w:val="0"/>
        <w:keepLines w:val="0"/>
        <w:pageBreakBefore w:val="0"/>
        <w:widowControl w:val="0"/>
        <w:numPr>
          <w:ilvl w:val="0"/>
          <w:numId w:val="40"/>
        </w:numPr>
        <w:shd w:val="clear" w:color="auto" w:fill="auto"/>
        <w:tabs>
          <w:tab w:val="left" w:pos="993"/>
          <w:tab w:val="left" w:pos="139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确定监控点设置，设备参数配置要求；</w:t>
      </w:r>
    </w:p>
    <w:p>
      <w:pPr>
        <w:pStyle w:val="20"/>
        <w:keepNext w:val="0"/>
        <w:keepLines w:val="0"/>
        <w:pageBreakBefore w:val="0"/>
        <w:widowControl w:val="0"/>
        <w:numPr>
          <w:ilvl w:val="0"/>
          <w:numId w:val="40"/>
        </w:numPr>
        <w:shd w:val="clear" w:color="auto" w:fill="auto"/>
        <w:tabs>
          <w:tab w:val="left" w:pos="993"/>
          <w:tab w:val="left" w:pos="139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传输、控制线缆选择及敷设要求；</w:t>
      </w:r>
    </w:p>
    <w:p>
      <w:pPr>
        <w:pStyle w:val="20"/>
        <w:keepNext w:val="0"/>
        <w:keepLines w:val="0"/>
        <w:pageBreakBefore w:val="0"/>
        <w:widowControl w:val="0"/>
        <w:shd w:val="clear" w:color="auto" w:fill="auto"/>
        <w:tabs>
          <w:tab w:val="left" w:pos="993"/>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(2)消防设备电源监控系统。</w:t>
      </w:r>
    </w:p>
    <w:p>
      <w:pPr>
        <w:pStyle w:val="20"/>
        <w:keepNext w:val="0"/>
        <w:keepLines w:val="0"/>
        <w:pageBreakBefore w:val="0"/>
        <w:widowControl w:val="0"/>
        <w:numPr>
          <w:ilvl w:val="0"/>
          <w:numId w:val="41"/>
        </w:numPr>
        <w:shd w:val="clear" w:color="auto" w:fill="auto"/>
        <w:tabs>
          <w:tab w:val="left" w:pos="993"/>
          <w:tab w:val="left" w:pos="143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确定监控点设置，设备参数配置要求；</w:t>
      </w:r>
    </w:p>
    <w:p>
      <w:pPr>
        <w:pStyle w:val="20"/>
        <w:keepNext w:val="0"/>
        <w:keepLines w:val="0"/>
        <w:pageBreakBefore w:val="0"/>
        <w:widowControl w:val="0"/>
        <w:numPr>
          <w:ilvl w:val="0"/>
          <w:numId w:val="41"/>
        </w:numPr>
        <w:shd w:val="clear" w:color="auto" w:fill="auto"/>
        <w:tabs>
          <w:tab w:val="left" w:pos="993"/>
          <w:tab w:val="left" w:pos="143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传输、控制线缆选择及敷设要求；</w:t>
      </w:r>
    </w:p>
    <w:p>
      <w:pPr>
        <w:pStyle w:val="20"/>
        <w:keepNext w:val="0"/>
        <w:keepLines w:val="0"/>
        <w:pageBreakBefore w:val="0"/>
        <w:widowControl w:val="0"/>
        <w:shd w:val="clear" w:color="auto" w:fill="auto"/>
        <w:tabs>
          <w:tab w:val="left" w:pos="993"/>
          <w:tab w:val="left" w:pos="104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(3)防火门监控系统</w:t>
      </w:r>
    </w:p>
    <w:p>
      <w:pPr>
        <w:pStyle w:val="20"/>
        <w:keepNext w:val="0"/>
        <w:keepLines w:val="0"/>
        <w:pageBreakBefore w:val="0"/>
        <w:widowControl w:val="0"/>
        <w:numPr>
          <w:ilvl w:val="0"/>
          <w:numId w:val="42"/>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确定监控点设置，设备参数配置要求；</w:t>
      </w:r>
    </w:p>
    <w:p>
      <w:pPr>
        <w:pStyle w:val="20"/>
        <w:keepNext w:val="0"/>
        <w:keepLines w:val="0"/>
        <w:pageBreakBefore w:val="0"/>
        <w:widowControl w:val="0"/>
        <w:numPr>
          <w:ilvl w:val="0"/>
          <w:numId w:val="42"/>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传输、控制线缆选择及敷设要求；</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(4)火灾自动报警系统。</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按建筑性质确定系统形式及系统组成；</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确定消防控制室的位置；</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火灾探测器、报警控制器、手动报警按钮、控制台（柜）等设备的设置原则；</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火灾报警与消防联动控制要求，控制逻辑关系及控制显示要求；</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火灾警报装置及消防通信设置要求；</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消防主电源、备用电源供给方式，接地及接地电阻要求；</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传输、控制线缆选择及敷设要求；</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当有智能化系统集成要求时，应说明火灾自动报警系统与其它子系统的接口方式及联动关系；</w:t>
      </w:r>
    </w:p>
    <w:p>
      <w:pPr>
        <w:pStyle w:val="20"/>
        <w:keepNext w:val="0"/>
        <w:keepLines w:val="0"/>
        <w:pageBreakBefore w:val="0"/>
        <w:widowControl w:val="0"/>
        <w:numPr>
          <w:ilvl w:val="0"/>
          <w:numId w:val="43"/>
        </w:numPr>
        <w:shd w:val="clear" w:color="auto" w:fill="auto"/>
        <w:tabs>
          <w:tab w:val="left" w:pos="1134"/>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应急照明的联动控制方式等。</w:t>
      </w:r>
    </w:p>
    <w:p>
      <w:pPr>
        <w:pStyle w:val="20"/>
        <w:keepNext w:val="0"/>
        <w:keepLines w:val="0"/>
        <w:pageBreakBefore w:val="0"/>
        <w:widowControl w:val="0"/>
        <w:shd w:val="clear" w:color="auto" w:fill="auto"/>
        <w:tabs>
          <w:tab w:val="left" w:pos="105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(5)消防应急广播。</w:t>
      </w:r>
    </w:p>
    <w:p>
      <w:pPr>
        <w:pStyle w:val="20"/>
        <w:keepNext w:val="0"/>
        <w:keepLines w:val="0"/>
        <w:pageBreakBefore w:val="0"/>
        <w:widowControl w:val="0"/>
        <w:numPr>
          <w:ilvl w:val="0"/>
          <w:numId w:val="44"/>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消防应急广播系统声学等级及指标要求；</w:t>
      </w:r>
    </w:p>
    <w:p>
      <w:pPr>
        <w:pStyle w:val="20"/>
        <w:keepNext w:val="0"/>
        <w:keepLines w:val="0"/>
        <w:pageBreakBefore w:val="0"/>
        <w:widowControl w:val="0"/>
        <w:numPr>
          <w:ilvl w:val="0"/>
          <w:numId w:val="44"/>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确定广播分区原则和扬声器设置原则；</w:t>
      </w:r>
    </w:p>
    <w:p>
      <w:pPr>
        <w:pStyle w:val="20"/>
        <w:keepNext w:val="0"/>
        <w:keepLines w:val="0"/>
        <w:pageBreakBefore w:val="0"/>
        <w:widowControl w:val="0"/>
        <w:numPr>
          <w:ilvl w:val="0"/>
          <w:numId w:val="44"/>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确定系统音源类型、系统结构及传输方式；</w:t>
      </w:r>
    </w:p>
    <w:p>
      <w:pPr>
        <w:pStyle w:val="20"/>
        <w:keepNext w:val="0"/>
        <w:keepLines w:val="0"/>
        <w:pageBreakBefore w:val="0"/>
        <w:widowControl w:val="0"/>
        <w:numPr>
          <w:ilvl w:val="0"/>
          <w:numId w:val="44"/>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确定消防应急广播联动方式；</w:t>
      </w:r>
    </w:p>
    <w:p>
      <w:pPr>
        <w:pStyle w:val="20"/>
        <w:keepNext w:val="0"/>
        <w:keepLines w:val="0"/>
        <w:pageBreakBefore w:val="0"/>
        <w:widowControl w:val="0"/>
        <w:numPr>
          <w:ilvl w:val="0"/>
          <w:numId w:val="44"/>
        </w:numPr>
        <w:shd w:val="clear" w:color="auto" w:fill="auto"/>
        <w:tabs>
          <w:tab w:val="left" w:pos="993"/>
          <w:tab w:val="left" w:pos="14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确定系统主电源、备用电源供给方式。</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智能化设计。</w:t>
      </w:r>
    </w:p>
    <w:p>
      <w:pPr>
        <w:pStyle w:val="20"/>
        <w:keepNext w:val="0"/>
        <w:keepLines w:val="0"/>
        <w:pageBreakBefore w:val="0"/>
        <w:widowControl w:val="0"/>
        <w:numPr>
          <w:ilvl w:val="0"/>
          <w:numId w:val="4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智能化设计概况；</w:t>
      </w:r>
    </w:p>
    <w:p>
      <w:pPr>
        <w:pStyle w:val="20"/>
        <w:keepNext w:val="0"/>
        <w:keepLines w:val="0"/>
        <w:pageBreakBefore w:val="0"/>
        <w:widowControl w:val="0"/>
        <w:numPr>
          <w:ilvl w:val="0"/>
          <w:numId w:val="45"/>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智能化各系统的系统形式及其系统组成；</w:t>
      </w:r>
    </w:p>
    <w:p>
      <w:pPr>
        <w:pStyle w:val="20"/>
        <w:keepNext w:val="0"/>
        <w:keepLines w:val="0"/>
        <w:pageBreakBefore w:val="0"/>
        <w:widowControl w:val="0"/>
        <w:numPr>
          <w:ilvl w:val="0"/>
          <w:numId w:val="45"/>
        </w:numPr>
        <w:shd w:val="clear" w:color="auto" w:fill="auto"/>
        <w:tabs>
          <w:tab w:val="left" w:pos="105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智能化各系统的主机房、控制室位置；</w:t>
      </w:r>
    </w:p>
    <w:p>
      <w:pPr>
        <w:pStyle w:val="20"/>
        <w:keepNext w:val="0"/>
        <w:keepLines w:val="0"/>
        <w:pageBreakBefore w:val="0"/>
        <w:widowControl w:val="0"/>
        <w:numPr>
          <w:ilvl w:val="0"/>
          <w:numId w:val="45"/>
        </w:numPr>
        <w:shd w:val="clear" w:color="auto" w:fill="auto"/>
        <w:tabs>
          <w:tab w:val="left" w:pos="105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智能化各系统的布线方案；</w:t>
      </w:r>
    </w:p>
    <w:p>
      <w:pPr>
        <w:pStyle w:val="20"/>
        <w:keepNext w:val="0"/>
        <w:keepLines w:val="0"/>
        <w:pageBreakBefore w:val="0"/>
        <w:widowControl w:val="0"/>
        <w:numPr>
          <w:ilvl w:val="0"/>
          <w:numId w:val="45"/>
        </w:numPr>
        <w:shd w:val="clear" w:color="auto" w:fill="auto"/>
        <w:tabs>
          <w:tab w:val="left" w:pos="105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智能化各系统的点位配置标准；</w:t>
      </w:r>
    </w:p>
    <w:p>
      <w:pPr>
        <w:pStyle w:val="20"/>
        <w:keepNext w:val="0"/>
        <w:keepLines w:val="0"/>
        <w:pageBreakBefore w:val="0"/>
        <w:widowControl w:val="0"/>
        <w:numPr>
          <w:ilvl w:val="0"/>
          <w:numId w:val="45"/>
        </w:numPr>
        <w:shd w:val="clear" w:color="auto" w:fill="auto"/>
        <w:tabs>
          <w:tab w:val="left" w:pos="105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智能化各系统的供电、防雷及接地等要求；</w:t>
      </w:r>
    </w:p>
    <w:p>
      <w:pPr>
        <w:pStyle w:val="20"/>
        <w:keepNext w:val="0"/>
        <w:keepLines w:val="0"/>
        <w:pageBreakBefore w:val="0"/>
        <w:widowControl w:val="0"/>
        <w:numPr>
          <w:ilvl w:val="0"/>
          <w:numId w:val="45"/>
        </w:numPr>
        <w:shd w:val="clear" w:color="auto" w:fill="auto"/>
        <w:tabs>
          <w:tab w:val="left" w:pos="105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智能化各系统与其它专业设计的分工界面、接口条件。</w:t>
      </w:r>
    </w:p>
    <w:p>
      <w:pPr>
        <w:pStyle w:val="20"/>
        <w:keepNext w:val="0"/>
        <w:keepLines w:val="0"/>
        <w:pageBreakBefore w:val="0"/>
        <w:widowControl w:val="0"/>
        <w:numPr>
          <w:ilvl w:val="0"/>
          <w:numId w:val="1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机房工程。</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确定智能化机房的位置、面积及通信接入要求；</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当智能化机房有特殊荷载设备时，确定智能化机房的结构荷载要求；</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确定智能化机房的空调形式及机房环境要求；</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确定智能化机房的给水、排水及消防要求；</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确定智能化机房用电容量要求；</w:t>
      </w:r>
    </w:p>
    <w:p>
      <w:pPr>
        <w:pStyle w:val="20"/>
        <w:keepNext w:val="0"/>
        <w:keepLines w:val="0"/>
        <w:pageBreakBefore w:val="0"/>
        <w:widowControl w:val="0"/>
        <w:numPr>
          <w:ilvl w:val="0"/>
          <w:numId w:val="46"/>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确定智能化机房装修、电磁屏蔽、防雷接地等要求。</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15、需提请在设计审批时解决或确定的主要问题。</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1、电气总平面图（仅有单体设计时，可无此项内容)。</w:t>
      </w:r>
    </w:p>
    <w:p>
      <w:pPr>
        <w:pStyle w:val="20"/>
        <w:keepNext w:val="0"/>
        <w:keepLines w:val="0"/>
        <w:pageBreakBefore w:val="0"/>
        <w:widowControl w:val="0"/>
        <w:shd w:val="clear" w:color="auto" w:fill="auto"/>
        <w:tabs>
          <w:tab w:val="left" w:pos="10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(1)标示建筑物、构筑物名称、容量、高低压线路及其它系统线路走向、回路编号、导线及电缆型号规格及敷设方式、架空线杆位、路灯、庭园灯的杆位（路灯、庭园灯可不绘线路）；</w:t>
      </w:r>
    </w:p>
    <w:p>
      <w:pPr>
        <w:pStyle w:val="20"/>
        <w:keepNext w:val="0"/>
        <w:keepLines w:val="0"/>
        <w:pageBreakBefore w:val="0"/>
        <w:widowControl w:val="0"/>
        <w:shd w:val="clear" w:color="auto" w:fill="auto"/>
        <w:tabs>
          <w:tab w:val="left" w:pos="10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(2)变、配、发电站位置、编号、容量；</w:t>
      </w:r>
    </w:p>
    <w:p>
      <w:pPr>
        <w:pStyle w:val="20"/>
        <w:keepNext w:val="0"/>
        <w:keepLines w:val="0"/>
        <w:pageBreakBefore w:val="0"/>
        <w:widowControl w:val="0"/>
        <w:shd w:val="clear" w:color="auto" w:fill="auto"/>
        <w:tabs>
          <w:tab w:val="left" w:pos="10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(3)比例、指北针。</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2、变、配电系统。</w:t>
      </w:r>
    </w:p>
    <w:p>
      <w:pPr>
        <w:pStyle w:val="20"/>
        <w:keepNext w:val="0"/>
        <w:keepLines w:val="0"/>
        <w:pageBreakBefore w:val="0"/>
        <w:widowControl w:val="0"/>
        <w:numPr>
          <w:ilvl w:val="0"/>
          <w:numId w:val="4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高、低压配电系统图：注明开关柜编号、型号及回路编号、一次回路设备型号、设备容量、计算电流、补偿容量、整定值、导体型号规格、用户名称；</w:t>
      </w:r>
    </w:p>
    <w:p>
      <w:pPr>
        <w:pStyle w:val="20"/>
        <w:keepNext w:val="0"/>
        <w:keepLines w:val="0"/>
        <w:pageBreakBefore w:val="0"/>
        <w:widowControl w:val="0"/>
        <w:numPr>
          <w:ilvl w:val="0"/>
          <w:numId w:val="4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平面布置图：应包括高、低压开关柜、变压器、母干线、发电机、控制屏、直流电源及信号屏等设备平面布置和主要尺寸，图纸应有比例；</w:t>
      </w:r>
    </w:p>
    <w:p>
      <w:pPr>
        <w:pStyle w:val="20"/>
        <w:keepNext w:val="0"/>
        <w:keepLines w:val="0"/>
        <w:pageBreakBefore w:val="0"/>
        <w:widowControl w:val="0"/>
        <w:numPr>
          <w:ilvl w:val="0"/>
          <w:numId w:val="4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标示房间层高、地沟位置、标高（相对标高）。</w:t>
      </w:r>
    </w:p>
    <w:p>
      <w:pPr>
        <w:pStyle w:val="20"/>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配电系统。</w:t>
      </w:r>
    </w:p>
    <w:p>
      <w:pPr>
        <w:pStyle w:val="20"/>
        <w:keepNext w:val="0"/>
        <w:keepLines w:val="0"/>
        <w:pageBreakBefore w:val="0"/>
        <w:widowControl w:val="0"/>
        <w:numPr>
          <w:ilvl w:val="0"/>
          <w:numId w:val="48"/>
        </w:numPr>
        <w:shd w:val="clear" w:color="auto" w:fill="auto"/>
        <w:tabs>
          <w:tab w:val="left" w:pos="10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主要干线平面布置图：应绘制主要干线所在楼层的干线路由平面图；</w:t>
      </w:r>
    </w:p>
    <w:p>
      <w:pPr>
        <w:pStyle w:val="20"/>
        <w:keepNext w:val="0"/>
        <w:keepLines w:val="0"/>
        <w:pageBreakBefore w:val="0"/>
        <w:widowControl w:val="0"/>
        <w:numPr>
          <w:ilvl w:val="0"/>
          <w:numId w:val="48"/>
        </w:numPr>
        <w:shd w:val="clear" w:color="auto" w:fill="auto"/>
        <w:tabs>
          <w:tab w:val="left" w:pos="10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配电干线系统图：以建筑物、构筑物为单位，自电源点开始至终端主配电箱止，按设备所处相应楼层绘制，应包括变、配电站变压器编号、容量、发电机编号、容量、终端主配电箱编号、容量。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4、防雷系统、接地系统。</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一般不出图纸，特殊工程只出顶视平面图，接地平面图。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5、电气消防</w:t>
      </w:r>
    </w:p>
    <w:p>
      <w:pPr>
        <w:pStyle w:val="20"/>
        <w:keepNext w:val="0"/>
        <w:keepLines w:val="0"/>
        <w:pageBreakBefore w:val="0"/>
        <w:widowControl w:val="0"/>
        <w:numPr>
          <w:ilvl w:val="0"/>
          <w:numId w:val="49"/>
        </w:numPr>
        <w:shd w:val="clear" w:color="auto" w:fill="auto"/>
        <w:tabs>
          <w:tab w:val="left" w:pos="10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电气火灾监控系统图；</w:t>
      </w:r>
    </w:p>
    <w:p>
      <w:pPr>
        <w:pStyle w:val="20"/>
        <w:keepNext w:val="0"/>
        <w:keepLines w:val="0"/>
        <w:pageBreakBefore w:val="0"/>
        <w:widowControl w:val="0"/>
        <w:numPr>
          <w:ilvl w:val="0"/>
          <w:numId w:val="49"/>
        </w:numPr>
        <w:shd w:val="clear" w:color="auto" w:fill="auto"/>
        <w:tabs>
          <w:tab w:val="left" w:pos="10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消防设备电源监控系统图；</w:t>
      </w:r>
    </w:p>
    <w:p>
      <w:pPr>
        <w:pStyle w:val="20"/>
        <w:keepNext w:val="0"/>
        <w:keepLines w:val="0"/>
        <w:pageBreakBefore w:val="0"/>
        <w:widowControl w:val="0"/>
        <w:numPr>
          <w:ilvl w:val="0"/>
          <w:numId w:val="49"/>
        </w:numPr>
        <w:shd w:val="clear" w:color="auto" w:fill="auto"/>
        <w:tabs>
          <w:tab w:val="left" w:pos="107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防火门监控系统图；</w:t>
      </w:r>
    </w:p>
    <w:p>
      <w:pPr>
        <w:pStyle w:val="20"/>
        <w:keepNext w:val="0"/>
        <w:keepLines w:val="0"/>
        <w:pageBreakBefore w:val="0"/>
        <w:widowControl w:val="0"/>
        <w:numPr>
          <w:ilvl w:val="0"/>
          <w:numId w:val="49"/>
        </w:numPr>
        <w:shd w:val="clear" w:color="auto" w:fill="auto"/>
        <w:tabs>
          <w:tab w:val="left" w:pos="1072"/>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火灾自动报警系统；</w:t>
      </w:r>
    </w:p>
    <w:p>
      <w:pPr>
        <w:pStyle w:val="20"/>
        <w:keepNext w:val="0"/>
        <w:keepLines w:val="0"/>
        <w:pageBreakBefore w:val="0"/>
        <w:widowControl w:val="0"/>
        <w:numPr>
          <w:ilvl w:val="0"/>
          <w:numId w:val="50"/>
        </w:numPr>
        <w:shd w:val="clear" w:color="auto" w:fill="auto"/>
        <w:tabs>
          <w:tab w:val="left" w:pos="126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火灾自动报警及消防联动控制系统图；</w:t>
      </w:r>
    </w:p>
    <w:p>
      <w:pPr>
        <w:pStyle w:val="20"/>
        <w:keepNext w:val="0"/>
        <w:keepLines w:val="0"/>
        <w:pageBreakBefore w:val="0"/>
        <w:widowControl w:val="0"/>
        <w:numPr>
          <w:ilvl w:val="0"/>
          <w:numId w:val="50"/>
        </w:numPr>
        <w:shd w:val="clear" w:color="auto" w:fill="auto"/>
        <w:tabs>
          <w:tab w:val="left" w:pos="126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消防控制室设备布置平面图。</w:t>
      </w:r>
    </w:p>
    <w:p>
      <w:pPr>
        <w:pStyle w:val="20"/>
        <w:keepNext w:val="0"/>
        <w:keepLines w:val="0"/>
        <w:pageBreakBefore w:val="0"/>
        <w:widowControl w:val="0"/>
        <w:shd w:val="clear" w:color="auto" w:fill="auto"/>
        <w:tabs>
          <w:tab w:val="left" w:pos="1054"/>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(5)消防应急广播。</w:t>
      </w:r>
    </w:p>
    <w:p>
      <w:pPr>
        <w:pStyle w:val="20"/>
        <w:keepNext w:val="0"/>
        <w:keepLines w:val="0"/>
        <w:pageBreakBefore w:val="0"/>
        <w:widowControl w:val="0"/>
        <w:numPr>
          <w:ilvl w:val="0"/>
          <w:numId w:val="51"/>
        </w:numPr>
        <w:shd w:val="clear" w:color="auto" w:fill="auto"/>
        <w:tabs>
          <w:tab w:val="left" w:pos="1054"/>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智能化系。</w:t>
      </w:r>
    </w:p>
    <w:p>
      <w:pPr>
        <w:pStyle w:val="20"/>
        <w:keepNext w:val="0"/>
        <w:keepLines w:val="0"/>
        <w:pageBreakBefore w:val="0"/>
        <w:widowControl w:val="0"/>
        <w:numPr>
          <w:ilvl w:val="0"/>
          <w:numId w:val="52"/>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智能化各系统的系统图；</w:t>
      </w:r>
    </w:p>
    <w:p>
      <w:pPr>
        <w:pStyle w:val="20"/>
        <w:keepNext w:val="0"/>
        <w:keepLines w:val="0"/>
        <w:pageBreakBefore w:val="0"/>
        <w:widowControl w:val="0"/>
        <w:numPr>
          <w:ilvl w:val="0"/>
          <w:numId w:val="52"/>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智能化各系统及其子系统主要干线所在楼层的干线路由平面图；</w:t>
      </w:r>
    </w:p>
    <w:p>
      <w:pPr>
        <w:pStyle w:val="20"/>
        <w:keepNext w:val="0"/>
        <w:keepLines w:val="0"/>
        <w:pageBreakBefore w:val="0"/>
        <w:widowControl w:val="0"/>
        <w:numPr>
          <w:ilvl w:val="0"/>
          <w:numId w:val="52"/>
        </w:numPr>
        <w:shd w:val="clear" w:color="auto" w:fill="auto"/>
        <w:tabs>
          <w:tab w:val="left" w:pos="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智能化各系统及其子系统主机房布置平面示意图。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(三)</w:t>
      </w:r>
      <w:r>
        <w:rPr>
          <w:rFonts w:hint="eastAsia" w:ascii="仿宋_GB2312" w:hAnsi="Times New Roman" w:eastAsia="仿宋_GB2312" w:cs="Times New Roman"/>
          <w:b/>
          <w:snapToGrid w:val="0"/>
          <w:kern w:val="0"/>
          <w:sz w:val="21"/>
          <w:szCs w:val="21"/>
        </w:rPr>
        <w:t>主要电气设备表。</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注明主要电气设备的名称、型号、规格、单位、数量。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(四)</w:t>
      </w:r>
      <w:r>
        <w:rPr>
          <w:rFonts w:hint="eastAsia" w:ascii="仿宋_GB2312" w:hAnsi="Times New Roman" w:eastAsia="仿宋_GB2312" w:cs="Times New Roman"/>
          <w:b/>
          <w:snapToGrid w:val="0"/>
          <w:kern w:val="0"/>
          <w:sz w:val="21"/>
          <w:szCs w:val="21"/>
        </w:rPr>
        <w:t>计算书。</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1、用电设备负荷计算；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2、变压器、柴油发电机选型计算；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3、典型回路电压损失计算；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4、系统短路电流计算；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5、防雷类别的选取或计算；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6、典型场所照度值和照明功率密度值计算；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7、各系统计算结果尚应标示在设计说明或相应图纸中；</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8、因条件不具备不能进行计算的内容，应在予以说明，并应在施工图设计时补算。</w:t>
      </w:r>
      <w:bookmarkStart w:id="18" w:name="bookmark18"/>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lang w:bidi="en-US"/>
        </w:rPr>
      </w:pPr>
      <w:r>
        <w:rPr>
          <w:rFonts w:hint="eastAsia" w:ascii="华文中宋" w:hAnsi="华文中宋" w:eastAsia="华文中宋" w:cs="Times New Roman"/>
          <w:snapToGrid w:val="0"/>
          <w:kern w:val="0"/>
          <w:sz w:val="21"/>
          <w:szCs w:val="21"/>
          <w:lang w:bidi="en-US"/>
        </w:rPr>
        <w:t>五、给排水</w:t>
      </w:r>
    </w:p>
    <w:bookmarkEnd w:id="18"/>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设计说明书</w:t>
      </w:r>
    </w:p>
    <w:p>
      <w:pPr>
        <w:pStyle w:val="20"/>
        <w:keepNext w:val="0"/>
        <w:keepLines w:val="0"/>
        <w:pageBreakBefore w:val="0"/>
        <w:widowControl w:val="0"/>
        <w:numPr>
          <w:ilvl w:val="0"/>
          <w:numId w:val="53"/>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54"/>
        </w:numPr>
        <w:shd w:val="clear" w:color="auto" w:fill="auto"/>
        <w:tabs>
          <w:tab w:val="left" w:pos="104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摘录设计总说明所列批准文件和依据性资料中与本专业设计有关内容；</w:t>
      </w:r>
    </w:p>
    <w:p>
      <w:pPr>
        <w:pStyle w:val="20"/>
        <w:keepNext w:val="0"/>
        <w:keepLines w:val="0"/>
        <w:pageBreakBefore w:val="0"/>
        <w:widowControl w:val="0"/>
        <w:numPr>
          <w:ilvl w:val="0"/>
          <w:numId w:val="54"/>
        </w:numPr>
        <w:shd w:val="clear" w:color="auto" w:fill="auto"/>
        <w:tabs>
          <w:tab w:val="left" w:pos="104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本专业设计所执行的主要法规和所采用的主要规范、标准（包括标准的名称、编号、年号和版本号</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54"/>
        </w:numPr>
        <w:shd w:val="clear" w:color="auto" w:fill="auto"/>
        <w:tabs>
          <w:tab w:val="left" w:pos="104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设计依据的市政条件；</w:t>
      </w:r>
    </w:p>
    <w:p>
      <w:pPr>
        <w:pStyle w:val="20"/>
        <w:keepNext w:val="0"/>
        <w:keepLines w:val="0"/>
        <w:pageBreakBefore w:val="0"/>
        <w:widowControl w:val="0"/>
        <w:numPr>
          <w:ilvl w:val="0"/>
          <w:numId w:val="54"/>
        </w:numPr>
        <w:shd w:val="clear" w:color="auto" w:fill="auto"/>
        <w:tabs>
          <w:tab w:val="left" w:pos="104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建设单位提供有关资料和设计任务书；</w:t>
      </w:r>
    </w:p>
    <w:p>
      <w:pPr>
        <w:pStyle w:val="20"/>
        <w:keepNext w:val="0"/>
        <w:keepLines w:val="0"/>
        <w:pageBreakBefore w:val="0"/>
        <w:widowControl w:val="0"/>
        <w:numPr>
          <w:ilvl w:val="0"/>
          <w:numId w:val="54"/>
        </w:numPr>
        <w:shd w:val="clear" w:color="auto" w:fill="auto"/>
        <w:tabs>
          <w:tab w:val="left" w:pos="1040"/>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建筑和有关专业提供的条件图和有关资料。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2、工程概况：项目位置，工业建筑的火灾危险性、民用建筑的建筑分类和耐火等级，建 筑功能组成、建筑面积及体积、建筑层数、建筑高度以及能反映建筑规模的主要技术指标(如旅馆的床位数，剧院、体育馆等的座位数，医院的门诊人次和住院部的床位数等）。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3、设计范围。</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根据设计任务书和有关设计资料，说明用地红线（或建筑红线</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内本专业的设计内容，以及与需要专项（二次</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设计的如二次装修、环保、消防及其他工艺设计的分工界面和相关联的设计内容。当采用装配式时明确给排水专业的管道、管件及附件等在预制构件中的敷设方式及处理原则；预制构件中预留空洞、沟槽、预埋管线等布置的设计原则。</w:t>
      </w:r>
    </w:p>
    <w:p>
      <w:pPr>
        <w:pStyle w:val="20"/>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建筑小区（室外</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给水设计。</w:t>
      </w:r>
    </w:p>
    <w:p>
      <w:pPr>
        <w:pStyle w:val="20"/>
        <w:keepNext w:val="0"/>
        <w:keepLines w:val="0"/>
        <w:pageBreakBefore w:val="0"/>
        <w:widowControl w:val="0"/>
        <w:shd w:val="clear" w:color="auto" w:fill="auto"/>
        <w:tabs>
          <w:tab w:val="left" w:pos="1026"/>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(1)水源：</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由城镇或小区管网供水时，应说明供水干管方位、接管管径及根数、能提供的 水压；</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当建自备水源时，应按照《市政公用工程设计文件编制深度规定》要求，另行 专项设计。</w:t>
      </w:r>
    </w:p>
    <w:p>
      <w:pPr>
        <w:pStyle w:val="20"/>
        <w:keepNext w:val="0"/>
        <w:keepLines w:val="0"/>
        <w:pageBreakBefore w:val="0"/>
        <w:widowControl w:val="0"/>
        <w:shd w:val="clear" w:color="auto" w:fill="auto"/>
        <w:tabs>
          <w:tab w:val="left" w:pos="1040"/>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(2)用水量：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说明或用表格列出生活用水定额及用水量、生产用水水量、其他项目用水定额及用水量（含循环冷却水系统补水量、游泳池和中水系统补水量、洗衣房、锅炉房、水景用水、道路浇洒、汽车库和停车场地面冲洗、绿化浇洒和未预见用水量及管网 漏失水量等）、消防用水量标准及一次灭火用水量、总用水量</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最高日用水量、平均时用水量、最大时用水量</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shd w:val="clear" w:color="auto" w:fill="auto"/>
        <w:tabs>
          <w:tab w:val="left" w:pos="1040"/>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(3)给水系统：</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说明给水系统的划分及组合情况、分质、分区（分压</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供水的情况及设备控制方法；当水量、水压不足时采取的措施，并说明调节设施的容量、材质、位置及加压设备选型；如系改建、扩建工程，还应简介现有给水系统；</w:t>
      </w:r>
    </w:p>
    <w:p>
      <w:pPr>
        <w:pStyle w:val="20"/>
        <w:keepNext w:val="0"/>
        <w:keepLines w:val="0"/>
        <w:pageBreakBefore w:val="0"/>
        <w:widowControl w:val="0"/>
        <w:shd w:val="clear" w:color="auto" w:fill="auto"/>
        <w:tabs>
          <w:tab w:val="left" w:pos="1040"/>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(4)消防系统：说明各类形式消防设施的设计依据、设置范围、设计参数、供水方式、设备参数及运行要求等；</w:t>
      </w:r>
    </w:p>
    <w:p>
      <w:pPr>
        <w:pStyle w:val="20"/>
        <w:keepNext w:val="0"/>
        <w:keepLines w:val="0"/>
        <w:pageBreakBefore w:val="0"/>
        <w:widowControl w:val="0"/>
        <w:shd w:val="clear" w:color="auto" w:fill="auto"/>
        <w:tabs>
          <w:tab w:val="left" w:pos="1040"/>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中水系统：说明中水系统设计依据，中水用途、水质要求、设计参数。当市政提供中水时，应说明供水干管方位、接管管径及根数、能提供的水压;当自建中水站时，应说明规模、工艺流程及处理设施、设备选型，并绘制水量平衡图（表）；</w:t>
      </w:r>
    </w:p>
    <w:p>
      <w:pPr>
        <w:pStyle w:val="20"/>
        <w:keepNext w:val="0"/>
        <w:keepLines w:val="0"/>
        <w:pageBreakBefore w:val="0"/>
        <w:widowControl w:val="0"/>
        <w:shd w:val="clear" w:color="auto" w:fill="auto"/>
        <w:tabs>
          <w:tab w:val="left" w:pos="1026"/>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(6)循环冷却水系统：说明根据用水设备对水量和计量、水质、水温、水压的要求，以及当地的有关的气象参数</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如室外空气干、湿球温度和大气压力等）来选择采取循环冷却水系统的组成、冷却构筑物和循环水泵的参数、稳定水质措施及设备控制方法等；</w:t>
      </w:r>
    </w:p>
    <w:p>
      <w:pPr>
        <w:pStyle w:val="20"/>
        <w:keepNext w:val="0"/>
        <w:keepLines w:val="0"/>
        <w:pageBreakBefore w:val="0"/>
        <w:widowControl w:val="0"/>
        <w:shd w:val="clear" w:color="auto" w:fill="auto"/>
        <w:tabs>
          <w:tab w:val="left" w:pos="1026"/>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(7)当采用其它循环用水系统时，应概述系统流程、净化工艺，复杂的系统应绘制水量平衡图；</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(8)各系统选用的管材、接口及敷设方式。</w:t>
      </w:r>
    </w:p>
    <w:p>
      <w:pPr>
        <w:pStyle w:val="20"/>
        <w:keepNext w:val="0"/>
        <w:keepLines w:val="0"/>
        <w:pageBreakBefore w:val="0"/>
        <w:widowControl w:val="0"/>
        <w:numPr>
          <w:ilvl w:val="0"/>
          <w:numId w:val="19"/>
        </w:numPr>
        <w:shd w:val="clear" w:color="auto" w:fill="auto"/>
        <w:tabs>
          <w:tab w:val="left" w:pos="1031"/>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建筑小区（室外</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排水设计。</w:t>
      </w:r>
    </w:p>
    <w:p>
      <w:pPr>
        <w:pStyle w:val="20"/>
        <w:keepNext w:val="0"/>
        <w:keepLines w:val="0"/>
        <w:pageBreakBefore w:val="0"/>
        <w:widowControl w:val="0"/>
        <w:shd w:val="clear" w:color="auto" w:fill="auto"/>
        <w:tabs>
          <w:tab w:val="left" w:pos="101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(1)现有排水条件简介：</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当排入城市管渠或其他外部明沟时应说明管渠横断面尺寸大小、坡度、排入点的标高、位置或检查井编号。</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当排入水体（江、河、湖、海等</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时，还应说明对排放的要求，水体水文情况(流量、水位</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(2)说明设计采用的排水制度、排水出路；如需要提升，则说明提升位置、规模、提升设备选型及设计数据、构筑物形式、占地面积、事故排放的措施等；</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(3)说明或用表格列出生产、生活排水系统的排水量。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当污水需要处理时，应按照《市政公用工程设计文件编制深度规定》要求，另行专项设计。</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(4)说明雨水系统设计采用的暴雨强度公式（或暴雨强度）、重现期、雨水排水量、雨水系统简介，雨水出路等；</w:t>
      </w:r>
    </w:p>
    <w:p>
      <w:pPr>
        <w:pStyle w:val="20"/>
        <w:keepNext w:val="0"/>
        <w:keepLines w:val="0"/>
        <w:pageBreakBefore w:val="0"/>
        <w:widowControl w:val="0"/>
        <w:shd w:val="clear" w:color="auto" w:fill="auto"/>
        <w:tabs>
          <w:tab w:val="left" w:pos="1036"/>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(5)雨水控制与利用系统：说明控制指标及规模；雨水用途、水质要求、设计重现期、年降雨量、年可回用雨水量、年用雨水量、系统选型、处理工艺及构筑物概况、加压设备及给水系统等；</w:t>
      </w:r>
    </w:p>
    <w:p>
      <w:pPr>
        <w:pStyle w:val="20"/>
        <w:keepNext w:val="0"/>
        <w:keepLines w:val="0"/>
        <w:pageBreakBefore w:val="0"/>
        <w:widowControl w:val="0"/>
        <w:shd w:val="clear" w:color="auto" w:fill="auto"/>
        <w:tabs>
          <w:tab w:val="left" w:pos="1036"/>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(6)各系统选用的管材、接口及敷设方式。</w:t>
      </w:r>
    </w:p>
    <w:p>
      <w:pPr>
        <w:pStyle w:val="20"/>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建筑室内给水设计。</w:t>
      </w:r>
    </w:p>
    <w:p>
      <w:pPr>
        <w:pStyle w:val="20"/>
        <w:keepNext w:val="0"/>
        <w:keepLines w:val="0"/>
        <w:pageBreakBefore w:val="0"/>
        <w:widowControl w:val="0"/>
        <w:shd w:val="clear" w:color="auto" w:fill="auto"/>
        <w:tabs>
          <w:tab w:val="left" w:pos="101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(1)水源：由市政或小区管网供水时，应说明供水干管的方位、引入管（接管</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管径及根数、能提供的水压；</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(2)说明或用表格列出各种用水量定额、用水单位数、使用时数、小时变化系数、最 高日用水量、平均时用水量、最大时用水量；</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color w:val="000000"/>
          <w:kern w:val="0"/>
          <w:sz w:val="21"/>
          <w:szCs w:val="21"/>
          <w:lang w:val="zh-TW" w:eastAsia="zh-TW" w:bidi="zh-TW"/>
        </w:rPr>
        <w:t>注：此内容在</w:t>
      </w:r>
      <w:r>
        <w:rPr>
          <w:rFonts w:hint="eastAsia" w:ascii="仿宋_GB2312" w:hAnsi="Times New Roman" w:eastAsia="仿宋_GB2312" w:cs="Times New Roman"/>
          <w:snapToGrid w:val="0"/>
          <w:color w:val="000000"/>
          <w:kern w:val="0"/>
          <w:sz w:val="21"/>
          <w:szCs w:val="21"/>
          <w:lang w:val="zh-TW" w:bidi="zh-TW"/>
        </w:rPr>
        <w:t>前文已</w:t>
      </w:r>
      <w:r>
        <w:rPr>
          <w:rFonts w:hint="eastAsia" w:ascii="仿宋_GB2312" w:hAnsi="Times New Roman" w:eastAsia="仿宋_GB2312" w:cs="Times New Roman"/>
          <w:snapToGrid w:val="0"/>
          <w:color w:val="000000"/>
          <w:kern w:val="0"/>
          <w:sz w:val="21"/>
          <w:szCs w:val="21"/>
          <w:lang w:val="zh-TW" w:eastAsia="zh-TW" w:bidi="zh-TW"/>
        </w:rPr>
        <w:t>表示清楚时，则可不表示。</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(3)给水系统：说明给水系统的选择和给水方式，分质、分区（分压</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供水要求和采 取的措施，计量方式，设备控制方法，水箱和水池的容量、设置位置、材质，设备选型、防水质污染、保温、防结露和防腐蚀等措施；</w:t>
      </w:r>
    </w:p>
    <w:p>
      <w:pPr>
        <w:pStyle w:val="20"/>
        <w:keepNext w:val="0"/>
        <w:keepLines w:val="0"/>
        <w:pageBreakBefore w:val="0"/>
        <w:widowControl w:val="0"/>
        <w:shd w:val="clear" w:color="auto" w:fill="auto"/>
        <w:tabs>
          <w:tab w:val="left" w:pos="1031"/>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消防系统：遵照各类防火设计规范的有关规定要求，分别对各类消防系统（如消火栓、自动喷水、水幕、雨淋喷水、水喷雾、细水雾、泡沫、消防炮、气体灭火等）的设计原则和依据，计算标准、设计参数、系统组成、控制方式；消防水池 和水箱的容量、设置位置；建筑灭火器的配置；其他灭火系统如气体灭火系统的设置范围、灭火剂选择、设计储量以及主要设备选择等予以叙述；</w:t>
      </w:r>
    </w:p>
    <w:p>
      <w:pPr>
        <w:pStyle w:val="20"/>
        <w:keepNext w:val="0"/>
        <w:keepLines w:val="0"/>
        <w:pageBreakBefore w:val="0"/>
        <w:widowControl w:val="0"/>
        <w:shd w:val="clear" w:color="auto" w:fill="auto"/>
        <w:tabs>
          <w:tab w:val="left" w:pos="10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(5)热水系统：说明采取的热源、加热方式、水温、水质、热水供应方式、系统选择及设计耗热量、最大小时热水量、机组供热量等；说明设备选型、保温、防腐的 技术措施等；当利用余热或太阳能时，尚应说明采用的依据、供应能力、系统形 式、运行条件及技术措施等；</w:t>
      </w:r>
    </w:p>
    <w:p>
      <w:pPr>
        <w:pStyle w:val="20"/>
        <w:keepNext w:val="0"/>
        <w:keepLines w:val="0"/>
        <w:pageBreakBefore w:val="0"/>
        <w:widowControl w:val="0"/>
        <w:shd w:val="clear" w:color="auto" w:fill="auto"/>
        <w:tabs>
          <w:tab w:val="left" w:pos="10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(6)循环冷却水系统、重复用水系统、饮水供应等系统的设计参数及系统简介。当对水质、水压、水温等有特殊要求时，应说明采用的特殊技术措施，并列出设计数据及工艺流程、设备选型等；</w:t>
      </w:r>
    </w:p>
    <w:p>
      <w:pPr>
        <w:pStyle w:val="20"/>
        <w:keepNext w:val="0"/>
        <w:keepLines w:val="0"/>
        <w:pageBreakBefore w:val="0"/>
        <w:widowControl w:val="0"/>
        <w:shd w:val="clear" w:color="auto" w:fill="auto"/>
        <w:tabs>
          <w:tab w:val="left" w:pos="1042"/>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(7)各系统选用的管材、接口及敷设方式。</w:t>
      </w:r>
    </w:p>
    <w:p>
      <w:pPr>
        <w:pStyle w:val="20"/>
        <w:keepNext w:val="0"/>
        <w:keepLines w:val="0"/>
        <w:pageBreakBefore w:val="0"/>
        <w:widowControl w:val="0"/>
        <w:numPr>
          <w:ilvl w:val="0"/>
          <w:numId w:val="19"/>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建筑室内排水设计。</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lang w:bidi="en-US"/>
        </w:rPr>
        <w:t>(1)</w:t>
      </w:r>
      <w:r>
        <w:rPr>
          <w:rFonts w:hint="eastAsia" w:ascii="仿宋_GB2312" w:hAnsi="Times New Roman" w:eastAsia="仿宋_GB2312" w:cs="Times New Roman"/>
          <w:snapToGrid w:val="0"/>
          <w:kern w:val="0"/>
          <w:sz w:val="21"/>
          <w:szCs w:val="21"/>
        </w:rPr>
        <w:t>排水系统：说明排水系统选择、生活和生产污（废）水排水量、室外排放条件； 有毒有害污水的局部处理工艺流程及设计数据；</w:t>
      </w:r>
    </w:p>
    <w:p>
      <w:pPr>
        <w:pStyle w:val="20"/>
        <w:keepNext w:val="0"/>
        <w:keepLines w:val="0"/>
        <w:pageBreakBefore w:val="0"/>
        <w:widowControl w:val="0"/>
        <w:shd w:val="clear" w:color="auto" w:fill="auto"/>
        <w:tabs>
          <w:tab w:val="left" w:pos="104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(2)屋面雨水的排水系统选择及室外排放条件，采用的降雨强度、重现期和设 计雨水量等。</w:t>
      </w:r>
    </w:p>
    <w:p>
      <w:pPr>
        <w:pStyle w:val="20"/>
        <w:keepNext w:val="0"/>
        <w:keepLines w:val="0"/>
        <w:pageBreakBefore w:val="0"/>
        <w:widowControl w:val="0"/>
        <w:shd w:val="clear" w:color="auto" w:fill="auto"/>
        <w:tabs>
          <w:tab w:val="left" w:pos="104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(3)各系统选用的管材、接口及敷设方式。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8、中水系统。</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9、节水、节能减排措施：说明高效节水、节能减排器具和设备及系统设计中采用的技术措施等。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10、对有隔振及防噪音要求的建筑物、构筑物，说明给排水设施所采取的技术措施。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11、对特殊地区（地震、湿陷性或胀缩性土、冻土地区、软弱地基）的给水排水设施，说明所采取的相应技术措施。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12、对分期建设的项目，应说明前期、近期和远期结合的设计原则和依据性资料。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13、绿色建筑设计：当项目按绿色建筑要求建设时，说明绿色建筑设计目标，采用的主要绿色建筑技术 和措施。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14、装配式建筑设计：当项目按装配式建筑要求建设时，说明装配式建筑给排水设计目标，采用的主要装配式建筑技术和措施。（如卫生间排水形式，采用装配式时管材材质及接口方式，预留孔洞、沟槽做法要求，预埋套管、管道安装方式和原则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15、各专篇（项）中给排水专业应阐述的问题；给排水专业需专项（二次</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设计的系统及设计要求。</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r>
        <w:rPr>
          <w:rFonts w:hint="eastAsia" w:ascii="仿宋_GB2312" w:hAnsi="Times New Roman" w:eastAsia="仿宋_GB2312" w:cs="Times New Roman"/>
          <w:b/>
          <w:snapToGrid w:val="0"/>
          <w:kern w:val="0"/>
          <w:sz w:val="21"/>
          <w:szCs w:val="21"/>
          <w:lang w:bidi="en-US"/>
        </w:rPr>
        <w:t>（</w:t>
      </w:r>
      <w:r>
        <w:rPr>
          <w:rFonts w:hint="eastAsia" w:ascii="仿宋_GB2312" w:hAnsi="Times New Roman" w:eastAsia="仿宋_GB2312" w:cs="Times New Roman"/>
          <w:b/>
          <w:snapToGrid w:val="0"/>
          <w:kern w:val="0"/>
          <w:sz w:val="21"/>
          <w:szCs w:val="21"/>
        </w:rPr>
        <w:t>对于简单工程可不出图）。</w:t>
      </w:r>
    </w:p>
    <w:p>
      <w:pPr>
        <w:pStyle w:val="20"/>
        <w:keepNext w:val="0"/>
        <w:keepLines w:val="0"/>
        <w:pageBreakBefore w:val="0"/>
        <w:widowControl w:val="0"/>
        <w:numPr>
          <w:ilvl w:val="0"/>
          <w:numId w:val="5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建筑小区（室外</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应绘制给水排水总平面图。</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自建水源的取水构筑物平面布置图、水处理厂（站）总平面布置及工艺流程断面图，应按照《市政公用工程设计文件编制深度规定》要求，另行专项设计。</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全部建筑物和构筑物的平面位置、道路等，并标出主要定位尺寸或坐标、标高，指北针（或风玫瑰图）、比例等；</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给水、排水管道平面位置，标注出干管的管径，排水方向；绘出阀门井、消火栓井、水表井、检查井、化粪池等和其他给排水构筑物位置；</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室外给水、排水管道与城市管道系统连接点的位置和控制标高；</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消防系统、中水系统、循环冷却水系统、重复用水系统、雨水控制与利用系统等管道的平面位置，标注出干管的管径；</w:t>
      </w:r>
    </w:p>
    <w:p>
      <w:pPr>
        <w:pStyle w:val="20"/>
        <w:keepNext w:val="0"/>
        <w:keepLines w:val="0"/>
        <w:pageBreakBefore w:val="0"/>
        <w:widowControl w:val="0"/>
        <w:numPr>
          <w:ilvl w:val="0"/>
          <w:numId w:val="56"/>
        </w:numPr>
        <w:shd w:val="clear" w:color="auto" w:fill="auto"/>
        <w:tabs>
          <w:tab w:val="left" w:pos="104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中水系统、雨水控制与利用系统构筑物位置、系统管道与构筑物连接点处的控制标高。</w:t>
      </w:r>
    </w:p>
    <w:p>
      <w:pPr>
        <w:pStyle w:val="20"/>
        <w:keepNext w:val="0"/>
        <w:keepLines w:val="0"/>
        <w:pageBreakBefore w:val="0"/>
        <w:widowControl w:val="0"/>
        <w:numPr>
          <w:ilvl w:val="0"/>
          <w:numId w:val="55"/>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建筑室内给水排水平面图和系统原理图。</w:t>
      </w:r>
    </w:p>
    <w:p>
      <w:pPr>
        <w:pStyle w:val="20"/>
        <w:keepNext w:val="0"/>
        <w:keepLines w:val="0"/>
        <w:pageBreakBefore w:val="0"/>
        <w:widowControl w:val="0"/>
        <w:numPr>
          <w:ilvl w:val="0"/>
          <w:numId w:val="5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绘制给水排水首层（管道进出户层并绘制引入管和排出管）、地下室复杂的机房层、主要标准层、管道或设备复杂层的平面布置图；</w:t>
      </w:r>
    </w:p>
    <w:p>
      <w:pPr>
        <w:pStyle w:val="20"/>
        <w:keepNext w:val="0"/>
        <w:keepLines w:val="0"/>
        <w:pageBreakBefore w:val="0"/>
        <w:widowControl w:val="0"/>
        <w:numPr>
          <w:ilvl w:val="0"/>
          <w:numId w:val="5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绘制复杂设备机房的设备平面布置图。</w:t>
      </w:r>
    </w:p>
    <w:p>
      <w:pPr>
        <w:pStyle w:val="20"/>
        <w:keepNext w:val="0"/>
        <w:keepLines w:val="0"/>
        <w:pageBreakBefore w:val="0"/>
        <w:widowControl w:val="0"/>
        <w:numPr>
          <w:ilvl w:val="0"/>
          <w:numId w:val="5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应绘制给水系统、生活排水系统、雨水系统、各类消防系统、循环冷却水系统、热水系统、中水系统等系统原理图，标注主干管管径、水池（箱）底标高、建筑 楼层编号及层面标高；</w:t>
      </w:r>
    </w:p>
    <w:p>
      <w:pPr>
        <w:pStyle w:val="20"/>
        <w:keepNext w:val="0"/>
        <w:keepLines w:val="0"/>
        <w:pageBreakBefore w:val="0"/>
        <w:widowControl w:val="0"/>
        <w:numPr>
          <w:ilvl w:val="0"/>
          <w:numId w:val="57"/>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应绘制水处理流程图（或方框图）。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(三)</w:t>
      </w:r>
      <w:r>
        <w:rPr>
          <w:rFonts w:hint="eastAsia" w:ascii="仿宋_GB2312" w:hAnsi="Times New Roman" w:eastAsia="仿宋_GB2312" w:cs="Times New Roman"/>
          <w:b/>
          <w:snapToGrid w:val="0"/>
          <w:kern w:val="0"/>
          <w:sz w:val="21"/>
          <w:szCs w:val="21"/>
        </w:rPr>
        <w:t>设备及主要材料表。</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列出设备及主要材料及器材的名称、性能参数、计数单位、数量、备注。</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(四)</w:t>
      </w:r>
      <w:r>
        <w:rPr>
          <w:rFonts w:hint="eastAsia" w:ascii="仿宋_GB2312" w:hAnsi="Times New Roman" w:eastAsia="仿宋_GB2312" w:cs="Times New Roman"/>
          <w:b/>
          <w:snapToGrid w:val="0"/>
          <w:kern w:val="0"/>
          <w:sz w:val="21"/>
          <w:szCs w:val="21"/>
        </w:rPr>
        <w:t>计算书。</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1、各类生活、生产、消防等系统用水量和生活、生产排水量，园区、屋面雨水排水量，生活热水的设计小时耗热量等计算；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2、中水水量平衡计算；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3、有关的水力计算及热力计算；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4、主要设备选型和构筑物尺寸计算。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华文中宋" w:hAnsi="华文中宋" w:eastAsia="华文中宋" w:cs="Times New Roman"/>
          <w:snapToGrid w:val="0"/>
          <w:kern w:val="0"/>
          <w:sz w:val="21"/>
          <w:szCs w:val="21"/>
        </w:rPr>
      </w:pPr>
      <w:r>
        <w:rPr>
          <w:rFonts w:hint="eastAsia" w:ascii="华文中宋" w:hAnsi="华文中宋" w:eastAsia="华文中宋" w:cs="Times New Roman"/>
          <w:snapToGrid w:val="0"/>
          <w:kern w:val="0"/>
          <w:sz w:val="21"/>
          <w:szCs w:val="21"/>
          <w:lang w:bidi="en-US"/>
        </w:rPr>
        <w:t>六、</w:t>
      </w:r>
      <w:r>
        <w:rPr>
          <w:rFonts w:hint="eastAsia" w:ascii="华文中宋" w:hAnsi="华文中宋" w:eastAsia="华文中宋" w:cs="Times New Roman"/>
          <w:snapToGrid w:val="0"/>
          <w:kern w:val="0"/>
          <w:sz w:val="21"/>
          <w:szCs w:val="21"/>
        </w:rPr>
        <w:t>供暖通风与空气调节</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59"/>
        </w:numPr>
        <w:shd w:val="clear" w:color="auto" w:fill="auto"/>
        <w:tabs>
          <w:tab w:val="left" w:pos="11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摘述设计任务书和其他依据性资料中与供暖通风与空气调节专业有关的主要内容;</w:t>
      </w:r>
    </w:p>
    <w:p>
      <w:pPr>
        <w:pStyle w:val="20"/>
        <w:keepNext w:val="0"/>
        <w:keepLines w:val="0"/>
        <w:pageBreakBefore w:val="0"/>
        <w:widowControl w:val="0"/>
        <w:numPr>
          <w:ilvl w:val="0"/>
          <w:numId w:val="59"/>
        </w:numPr>
        <w:shd w:val="clear" w:color="auto" w:fill="auto"/>
        <w:tabs>
          <w:tab w:val="left" w:pos="11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与本专业有关的批准文件和建设单位提出的符合有关法规、标准的要求；</w:t>
      </w:r>
    </w:p>
    <w:p>
      <w:pPr>
        <w:pStyle w:val="20"/>
        <w:keepNext w:val="0"/>
        <w:keepLines w:val="0"/>
        <w:pageBreakBefore w:val="0"/>
        <w:widowControl w:val="0"/>
        <w:numPr>
          <w:ilvl w:val="0"/>
          <w:numId w:val="59"/>
        </w:numPr>
        <w:shd w:val="clear" w:color="auto" w:fill="auto"/>
        <w:tabs>
          <w:tab w:val="left" w:pos="11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本专业设计所执行的主要法规和所采用的主要标准（包括标准的名称、编号、年号和版本号</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59"/>
        </w:numPr>
        <w:shd w:val="clear" w:color="auto" w:fill="auto"/>
        <w:tabs>
          <w:tab w:val="left" w:pos="116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其他专业提供的设计资料等。</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简述工程建设地点、建筑面积、规模、建筑防火类别、使用功能、层数、建筑高度等。</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设计范围。</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根据设计任务书和有关设计资料，说明本专业设计的内容、范围以及与有关专业的设</w:t>
      </w:r>
      <w:r>
        <w:rPr>
          <w:rStyle w:val="29"/>
          <w:rFonts w:hint="eastAsia" w:ascii="仿宋_GB2312" w:hAnsi="Times New Roman" w:eastAsia="仿宋_GB2312" w:cs="Times New Roman"/>
          <w:snapToGrid w:val="0"/>
          <w:spacing w:val="0"/>
          <w:kern w:val="0"/>
          <w:sz w:val="21"/>
          <w:szCs w:val="21"/>
        </w:rPr>
        <w:t>计分工。</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设计计算参数。</w:t>
      </w:r>
    </w:p>
    <w:p>
      <w:pPr>
        <w:pStyle w:val="20"/>
        <w:keepNext w:val="0"/>
        <w:keepLines w:val="0"/>
        <w:pageBreakBefore w:val="0"/>
        <w:widowControl w:val="0"/>
        <w:shd w:val="clear" w:color="auto" w:fill="auto"/>
        <w:tabs>
          <w:tab w:val="left" w:pos="1167"/>
        </w:tabs>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(1)室外空气计算参数；</w:t>
      </w:r>
    </w:p>
    <w:p>
      <w:pPr>
        <w:pStyle w:val="26"/>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lang w:bidi="en-US"/>
        </w:rPr>
      </w:pPr>
      <w:r>
        <w:rPr>
          <w:rFonts w:hint="eastAsia" w:ascii="仿宋_GB2312" w:hAnsi="Times New Roman" w:eastAsia="仿宋_GB2312" w:cs="Times New Roman"/>
          <w:snapToGrid w:val="0"/>
          <w:kern w:val="0"/>
          <w:sz w:val="21"/>
          <w:szCs w:val="21"/>
        </w:rPr>
        <w:t>(2)室内设计参数</w:t>
      </w:r>
      <w:r>
        <w:rPr>
          <w:rFonts w:hint="eastAsia" w:ascii="仿宋_GB2312" w:hAnsi="Times New Roman" w:eastAsia="仿宋_GB2312" w:cs="Times New Roman"/>
          <w:snapToGrid w:val="0"/>
          <w:kern w:val="0"/>
          <w:sz w:val="21"/>
          <w:szCs w:val="21"/>
          <w:lang w:bidi="en-US"/>
        </w:rPr>
        <w:t>；</w:t>
      </w:r>
    </w:p>
    <w:p>
      <w:pPr>
        <w:pStyle w:val="26"/>
        <w:shd w:val="clear" w:color="auto" w:fill="auto"/>
        <w:adjustRightInd w:val="0"/>
        <w:snapToGrid w:val="0"/>
        <w:spacing w:line="560" w:lineRule="exact"/>
        <w:jc w:val="center"/>
        <w:rPr>
          <w:rFonts w:ascii="仿宋_GB2312" w:hAnsi="Times New Roman" w:eastAsia="仿宋_GB2312" w:cs="Times New Roman"/>
          <w:snapToGrid w:val="0"/>
          <w:color w:val="000000"/>
          <w:kern w:val="0"/>
          <w:sz w:val="21"/>
          <w:szCs w:val="21"/>
          <w:lang w:val="zh-TW" w:bidi="zh-TW"/>
        </w:rPr>
      </w:pPr>
      <w:r>
        <w:rPr>
          <w:rFonts w:hint="eastAsia" w:ascii="仿宋_GB2312" w:hAnsi="Times New Roman" w:eastAsia="仿宋_GB2312" w:cs="Times New Roman"/>
          <w:snapToGrid w:val="0"/>
          <w:color w:val="000000"/>
          <w:kern w:val="0"/>
          <w:sz w:val="21"/>
          <w:szCs w:val="21"/>
          <w:lang w:val="zh-TW" w:bidi="zh-TW"/>
        </w:rPr>
        <w:t xml:space="preserve">表3  </w:t>
      </w:r>
      <w:r>
        <w:rPr>
          <w:rFonts w:hint="eastAsia" w:ascii="仿宋_GB2312" w:hAnsi="Times New Roman" w:eastAsia="仿宋_GB2312" w:cs="Times New Roman"/>
          <w:snapToGrid w:val="0"/>
          <w:color w:val="000000"/>
          <w:kern w:val="0"/>
          <w:sz w:val="21"/>
          <w:szCs w:val="21"/>
          <w:lang w:val="zh-TW" w:eastAsia="zh-TW" w:bidi="zh-TW"/>
        </w:rPr>
        <w:t>室内设计参数</w:t>
      </w:r>
    </w:p>
    <w:tbl>
      <w:tblPr>
        <w:tblStyle w:val="10"/>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20"/>
        <w:gridCol w:w="978"/>
        <w:gridCol w:w="1241"/>
        <w:gridCol w:w="993"/>
        <w:gridCol w:w="1275"/>
        <w:gridCol w:w="851"/>
        <w:gridCol w:w="1417"/>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1120" w:type="dxa"/>
            <w:vMerge w:val="restart"/>
            <w:shd w:val="clear" w:color="auto" w:fill="auto"/>
            <w:vAlign w:val="center"/>
          </w:tcPr>
          <w:p>
            <w:pPr>
              <w:adjustRightInd w:val="0"/>
              <w:snapToGrid w:val="0"/>
              <w:jc w:val="center"/>
              <w:rPr>
                <w:rFonts w:asciiTheme="minorEastAsia" w:hAnsiTheme="minorEastAsia"/>
                <w:b/>
              </w:rPr>
            </w:pPr>
            <w:r>
              <w:rPr>
                <w:rFonts w:asciiTheme="minorEastAsia" w:hAnsiTheme="minorEastAsia"/>
                <w:b/>
              </w:rPr>
              <w:t>房间名称</w:t>
            </w:r>
          </w:p>
        </w:tc>
        <w:tc>
          <w:tcPr>
            <w:tcW w:w="2219" w:type="dxa"/>
            <w:gridSpan w:val="2"/>
            <w:shd w:val="clear" w:color="auto" w:fill="auto"/>
            <w:vAlign w:val="center"/>
          </w:tcPr>
          <w:p>
            <w:pPr>
              <w:adjustRightInd w:val="0"/>
              <w:snapToGrid w:val="0"/>
              <w:jc w:val="center"/>
              <w:rPr>
                <w:rFonts w:asciiTheme="minorEastAsia" w:hAnsiTheme="minorEastAsia"/>
                <w:b/>
              </w:rPr>
            </w:pPr>
            <w:r>
              <w:rPr>
                <w:rFonts w:asciiTheme="minorEastAsia" w:hAnsiTheme="minorEastAsia"/>
                <w:b/>
              </w:rPr>
              <w:t>夏 季</w:t>
            </w:r>
          </w:p>
        </w:tc>
        <w:tc>
          <w:tcPr>
            <w:tcW w:w="2268" w:type="dxa"/>
            <w:gridSpan w:val="2"/>
            <w:shd w:val="clear" w:color="auto" w:fill="auto"/>
            <w:vAlign w:val="center"/>
          </w:tcPr>
          <w:p>
            <w:pPr>
              <w:adjustRightInd w:val="0"/>
              <w:snapToGrid w:val="0"/>
              <w:jc w:val="center"/>
              <w:rPr>
                <w:rFonts w:asciiTheme="minorEastAsia" w:hAnsiTheme="minorEastAsia"/>
                <w:b/>
              </w:rPr>
            </w:pPr>
            <w:r>
              <w:rPr>
                <w:rFonts w:asciiTheme="minorEastAsia" w:hAnsiTheme="minorEastAsia"/>
                <w:b/>
              </w:rPr>
              <w:t>冬 季</w:t>
            </w:r>
          </w:p>
        </w:tc>
        <w:tc>
          <w:tcPr>
            <w:tcW w:w="851"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风速</w:t>
            </w:r>
          </w:p>
          <w:p>
            <w:pPr>
              <w:adjustRightInd w:val="0"/>
              <w:snapToGrid w:val="0"/>
              <w:jc w:val="center"/>
              <w:rPr>
                <w:rFonts w:asciiTheme="minorEastAsia" w:hAnsiTheme="minorEastAsia"/>
                <w:b/>
              </w:rPr>
            </w:pPr>
            <w:r>
              <w:rPr>
                <w:rFonts w:asciiTheme="minorEastAsia" w:hAnsiTheme="minorEastAsia"/>
                <w:b/>
              </w:rPr>
              <w:t>m/s</w:t>
            </w:r>
          </w:p>
        </w:tc>
        <w:tc>
          <w:tcPr>
            <w:tcW w:w="1417"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新风量标准 m3/h •人</w:t>
            </w:r>
          </w:p>
        </w:tc>
        <w:tc>
          <w:tcPr>
            <w:tcW w:w="1466"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噪声标准</w:t>
            </w:r>
          </w:p>
          <w:p>
            <w:pPr>
              <w:adjustRightInd w:val="0"/>
              <w:snapToGrid w:val="0"/>
              <w:jc w:val="center"/>
              <w:rPr>
                <w:rFonts w:asciiTheme="minorEastAsia" w:hAnsiTheme="minorEastAsia"/>
                <w:b/>
              </w:rPr>
            </w:pPr>
            <w:r>
              <w:rPr>
                <w:rFonts w:asciiTheme="minorEastAsia" w:hAnsiTheme="minorEastAsia"/>
                <w:b/>
              </w:rPr>
              <w:t>dB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1120" w:type="dxa"/>
            <w:vMerge w:val="continue"/>
            <w:shd w:val="clear" w:color="auto" w:fill="auto"/>
            <w:vAlign w:val="center"/>
          </w:tcPr>
          <w:p>
            <w:pPr>
              <w:adjustRightInd w:val="0"/>
              <w:snapToGrid w:val="0"/>
              <w:jc w:val="center"/>
              <w:rPr>
                <w:rFonts w:asciiTheme="minorEastAsia" w:hAnsiTheme="minorEastAsia"/>
                <w:b/>
              </w:rPr>
            </w:pPr>
          </w:p>
        </w:tc>
        <w:tc>
          <w:tcPr>
            <w:tcW w:w="978"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温度</w:t>
            </w:r>
            <w:r>
              <w:rPr>
                <w:rFonts w:hint="eastAsia" w:cs="宋体" w:asciiTheme="minorEastAsia" w:hAnsiTheme="minorEastAsia"/>
                <w:b/>
              </w:rPr>
              <w:t>℃</w:t>
            </w:r>
          </w:p>
        </w:tc>
        <w:tc>
          <w:tcPr>
            <w:tcW w:w="1241"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相对湿度％</w:t>
            </w:r>
          </w:p>
        </w:tc>
        <w:tc>
          <w:tcPr>
            <w:tcW w:w="993"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温度</w:t>
            </w:r>
            <w:r>
              <w:rPr>
                <w:rFonts w:hint="eastAsia" w:cs="宋体" w:asciiTheme="minorEastAsia" w:hAnsiTheme="minorEastAsia"/>
                <w:b/>
              </w:rPr>
              <w:t>℃</w:t>
            </w:r>
          </w:p>
        </w:tc>
        <w:tc>
          <w:tcPr>
            <w:tcW w:w="1275" w:type="dxa"/>
            <w:shd w:val="clear" w:color="auto" w:fill="auto"/>
            <w:vAlign w:val="center"/>
          </w:tcPr>
          <w:p>
            <w:pPr>
              <w:adjustRightInd w:val="0"/>
              <w:snapToGrid w:val="0"/>
              <w:jc w:val="center"/>
              <w:rPr>
                <w:rFonts w:asciiTheme="minorEastAsia" w:hAnsiTheme="minorEastAsia"/>
                <w:b/>
              </w:rPr>
            </w:pPr>
            <w:r>
              <w:rPr>
                <w:rFonts w:asciiTheme="minorEastAsia" w:hAnsiTheme="minorEastAsia"/>
                <w:b/>
              </w:rPr>
              <w:t>相对湿度％</w:t>
            </w:r>
          </w:p>
        </w:tc>
        <w:tc>
          <w:tcPr>
            <w:tcW w:w="851" w:type="dxa"/>
            <w:shd w:val="clear" w:color="auto" w:fill="auto"/>
            <w:vAlign w:val="center"/>
          </w:tcPr>
          <w:p>
            <w:pPr>
              <w:adjustRightInd w:val="0"/>
              <w:snapToGrid w:val="0"/>
              <w:jc w:val="center"/>
              <w:rPr>
                <w:rFonts w:asciiTheme="minorEastAsia" w:hAnsiTheme="minorEastAsia"/>
                <w:b/>
              </w:rPr>
            </w:pPr>
          </w:p>
        </w:tc>
        <w:tc>
          <w:tcPr>
            <w:tcW w:w="1417" w:type="dxa"/>
            <w:shd w:val="clear" w:color="auto" w:fill="auto"/>
            <w:vAlign w:val="center"/>
          </w:tcPr>
          <w:p>
            <w:pPr>
              <w:adjustRightInd w:val="0"/>
              <w:snapToGrid w:val="0"/>
              <w:jc w:val="center"/>
              <w:rPr>
                <w:rFonts w:asciiTheme="minorEastAsia" w:hAnsiTheme="minorEastAsia"/>
                <w:b/>
              </w:rPr>
            </w:pPr>
          </w:p>
        </w:tc>
        <w:tc>
          <w:tcPr>
            <w:tcW w:w="1466" w:type="dxa"/>
            <w:shd w:val="clear" w:color="auto" w:fill="auto"/>
            <w:vAlign w:val="center"/>
          </w:tcPr>
          <w:p>
            <w:pPr>
              <w:adjustRightInd w:val="0"/>
              <w:snapToGrid w:val="0"/>
              <w:jc w:val="center"/>
              <w:rPr>
                <w:rFonts w:asciiTheme="minorEastAsia" w:hAnsi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1120" w:type="dxa"/>
            <w:shd w:val="clear" w:color="auto" w:fill="auto"/>
            <w:vAlign w:val="center"/>
          </w:tcPr>
          <w:p>
            <w:pPr>
              <w:adjustRightInd w:val="0"/>
              <w:snapToGrid w:val="0"/>
              <w:jc w:val="center"/>
              <w:rPr>
                <w:rFonts w:asciiTheme="minorEastAsia" w:hAnsiTheme="minorEastAsia"/>
              </w:rPr>
            </w:pPr>
          </w:p>
        </w:tc>
        <w:tc>
          <w:tcPr>
            <w:tcW w:w="978" w:type="dxa"/>
            <w:shd w:val="clear" w:color="auto" w:fill="auto"/>
            <w:vAlign w:val="center"/>
          </w:tcPr>
          <w:p>
            <w:pPr>
              <w:adjustRightInd w:val="0"/>
              <w:snapToGrid w:val="0"/>
              <w:jc w:val="center"/>
              <w:rPr>
                <w:rFonts w:asciiTheme="minorEastAsia" w:hAnsiTheme="minorEastAsia"/>
              </w:rPr>
            </w:pPr>
          </w:p>
        </w:tc>
        <w:tc>
          <w:tcPr>
            <w:tcW w:w="1241" w:type="dxa"/>
            <w:shd w:val="clear" w:color="auto" w:fill="auto"/>
            <w:vAlign w:val="center"/>
          </w:tcPr>
          <w:p>
            <w:pPr>
              <w:adjustRightInd w:val="0"/>
              <w:snapToGrid w:val="0"/>
              <w:jc w:val="center"/>
              <w:rPr>
                <w:rFonts w:asciiTheme="minorEastAsia" w:hAnsiTheme="minorEastAsia"/>
              </w:rPr>
            </w:pPr>
          </w:p>
        </w:tc>
        <w:tc>
          <w:tcPr>
            <w:tcW w:w="993" w:type="dxa"/>
            <w:shd w:val="clear" w:color="auto" w:fill="auto"/>
            <w:vAlign w:val="center"/>
          </w:tcPr>
          <w:p>
            <w:pPr>
              <w:adjustRightInd w:val="0"/>
              <w:snapToGrid w:val="0"/>
              <w:jc w:val="center"/>
              <w:rPr>
                <w:rFonts w:asciiTheme="minorEastAsia" w:hAnsiTheme="minorEastAsia"/>
              </w:rPr>
            </w:pPr>
          </w:p>
        </w:tc>
        <w:tc>
          <w:tcPr>
            <w:tcW w:w="1275" w:type="dxa"/>
            <w:shd w:val="clear" w:color="auto" w:fill="auto"/>
            <w:vAlign w:val="center"/>
          </w:tcPr>
          <w:p>
            <w:pPr>
              <w:adjustRightInd w:val="0"/>
              <w:snapToGrid w:val="0"/>
              <w:jc w:val="center"/>
              <w:rPr>
                <w:rFonts w:asciiTheme="minorEastAsia" w:hAnsiTheme="minorEastAsia"/>
              </w:rPr>
            </w:pPr>
          </w:p>
        </w:tc>
        <w:tc>
          <w:tcPr>
            <w:tcW w:w="851" w:type="dxa"/>
            <w:shd w:val="clear" w:color="auto" w:fill="auto"/>
            <w:vAlign w:val="center"/>
          </w:tcPr>
          <w:p>
            <w:pPr>
              <w:adjustRightInd w:val="0"/>
              <w:snapToGrid w:val="0"/>
              <w:jc w:val="center"/>
              <w:rPr>
                <w:rFonts w:asciiTheme="minorEastAsia" w:hAnsiTheme="minorEastAsia"/>
              </w:rPr>
            </w:pPr>
          </w:p>
        </w:tc>
        <w:tc>
          <w:tcPr>
            <w:tcW w:w="1417" w:type="dxa"/>
            <w:shd w:val="clear" w:color="auto" w:fill="auto"/>
            <w:vAlign w:val="center"/>
          </w:tcPr>
          <w:p>
            <w:pPr>
              <w:adjustRightInd w:val="0"/>
              <w:snapToGrid w:val="0"/>
              <w:jc w:val="center"/>
              <w:rPr>
                <w:rFonts w:asciiTheme="minorEastAsia" w:hAnsiTheme="minorEastAsia"/>
              </w:rPr>
            </w:pPr>
          </w:p>
        </w:tc>
        <w:tc>
          <w:tcPr>
            <w:tcW w:w="1466" w:type="dxa"/>
            <w:shd w:val="clear" w:color="auto" w:fill="auto"/>
            <w:vAlign w:val="center"/>
          </w:tcPr>
          <w:p>
            <w:pPr>
              <w:adjustRightInd w:val="0"/>
              <w:snapToGrid w:val="0"/>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20" w:type="dxa"/>
            <w:shd w:val="clear" w:color="auto" w:fill="auto"/>
            <w:vAlign w:val="center"/>
          </w:tcPr>
          <w:p>
            <w:pPr>
              <w:adjustRightInd w:val="0"/>
              <w:snapToGrid w:val="0"/>
              <w:jc w:val="center"/>
              <w:rPr>
                <w:rFonts w:asciiTheme="minorEastAsia" w:hAnsiTheme="minorEastAsia"/>
              </w:rPr>
            </w:pPr>
          </w:p>
        </w:tc>
        <w:tc>
          <w:tcPr>
            <w:tcW w:w="978" w:type="dxa"/>
            <w:shd w:val="clear" w:color="auto" w:fill="auto"/>
            <w:vAlign w:val="center"/>
          </w:tcPr>
          <w:p>
            <w:pPr>
              <w:adjustRightInd w:val="0"/>
              <w:snapToGrid w:val="0"/>
              <w:jc w:val="center"/>
              <w:rPr>
                <w:rFonts w:asciiTheme="minorEastAsia" w:hAnsiTheme="minorEastAsia"/>
              </w:rPr>
            </w:pPr>
          </w:p>
        </w:tc>
        <w:tc>
          <w:tcPr>
            <w:tcW w:w="1241" w:type="dxa"/>
            <w:shd w:val="clear" w:color="auto" w:fill="auto"/>
            <w:vAlign w:val="center"/>
          </w:tcPr>
          <w:p>
            <w:pPr>
              <w:adjustRightInd w:val="0"/>
              <w:snapToGrid w:val="0"/>
              <w:jc w:val="center"/>
              <w:rPr>
                <w:rFonts w:asciiTheme="minorEastAsia" w:hAnsiTheme="minorEastAsia"/>
              </w:rPr>
            </w:pPr>
          </w:p>
        </w:tc>
        <w:tc>
          <w:tcPr>
            <w:tcW w:w="993" w:type="dxa"/>
            <w:shd w:val="clear" w:color="auto" w:fill="auto"/>
            <w:vAlign w:val="center"/>
          </w:tcPr>
          <w:p>
            <w:pPr>
              <w:adjustRightInd w:val="0"/>
              <w:snapToGrid w:val="0"/>
              <w:jc w:val="center"/>
              <w:rPr>
                <w:rFonts w:asciiTheme="minorEastAsia" w:hAnsiTheme="minorEastAsia"/>
              </w:rPr>
            </w:pPr>
          </w:p>
        </w:tc>
        <w:tc>
          <w:tcPr>
            <w:tcW w:w="1275" w:type="dxa"/>
            <w:shd w:val="clear" w:color="auto" w:fill="auto"/>
            <w:vAlign w:val="center"/>
          </w:tcPr>
          <w:p>
            <w:pPr>
              <w:adjustRightInd w:val="0"/>
              <w:snapToGrid w:val="0"/>
              <w:jc w:val="center"/>
              <w:rPr>
                <w:rFonts w:asciiTheme="minorEastAsia" w:hAnsiTheme="minorEastAsia"/>
              </w:rPr>
            </w:pPr>
          </w:p>
        </w:tc>
        <w:tc>
          <w:tcPr>
            <w:tcW w:w="851" w:type="dxa"/>
            <w:shd w:val="clear" w:color="auto" w:fill="auto"/>
            <w:vAlign w:val="center"/>
          </w:tcPr>
          <w:p>
            <w:pPr>
              <w:adjustRightInd w:val="0"/>
              <w:snapToGrid w:val="0"/>
              <w:jc w:val="center"/>
              <w:rPr>
                <w:rFonts w:asciiTheme="minorEastAsia" w:hAnsiTheme="minorEastAsia"/>
              </w:rPr>
            </w:pPr>
          </w:p>
        </w:tc>
        <w:tc>
          <w:tcPr>
            <w:tcW w:w="1417" w:type="dxa"/>
            <w:shd w:val="clear" w:color="auto" w:fill="auto"/>
            <w:vAlign w:val="center"/>
          </w:tcPr>
          <w:p>
            <w:pPr>
              <w:adjustRightInd w:val="0"/>
              <w:snapToGrid w:val="0"/>
              <w:jc w:val="center"/>
              <w:rPr>
                <w:rFonts w:asciiTheme="minorEastAsia" w:hAnsiTheme="minorEastAsia"/>
              </w:rPr>
            </w:pPr>
          </w:p>
        </w:tc>
        <w:tc>
          <w:tcPr>
            <w:tcW w:w="1466" w:type="dxa"/>
            <w:shd w:val="clear" w:color="auto" w:fill="auto"/>
            <w:vAlign w:val="center"/>
          </w:tcPr>
          <w:p>
            <w:pPr>
              <w:adjustRightInd w:val="0"/>
              <w:snapToGrid w:val="0"/>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1120" w:type="dxa"/>
            <w:shd w:val="clear" w:color="auto" w:fill="auto"/>
            <w:vAlign w:val="center"/>
          </w:tcPr>
          <w:p>
            <w:pPr>
              <w:adjustRightInd w:val="0"/>
              <w:snapToGrid w:val="0"/>
              <w:jc w:val="center"/>
              <w:rPr>
                <w:rFonts w:asciiTheme="minorEastAsia" w:hAnsiTheme="minorEastAsia"/>
              </w:rPr>
            </w:pPr>
          </w:p>
        </w:tc>
        <w:tc>
          <w:tcPr>
            <w:tcW w:w="978" w:type="dxa"/>
            <w:shd w:val="clear" w:color="auto" w:fill="auto"/>
            <w:vAlign w:val="center"/>
          </w:tcPr>
          <w:p>
            <w:pPr>
              <w:adjustRightInd w:val="0"/>
              <w:snapToGrid w:val="0"/>
              <w:jc w:val="center"/>
              <w:rPr>
                <w:rFonts w:asciiTheme="minorEastAsia" w:hAnsiTheme="minorEastAsia"/>
              </w:rPr>
            </w:pPr>
          </w:p>
        </w:tc>
        <w:tc>
          <w:tcPr>
            <w:tcW w:w="1241" w:type="dxa"/>
            <w:shd w:val="clear" w:color="auto" w:fill="auto"/>
            <w:vAlign w:val="center"/>
          </w:tcPr>
          <w:p>
            <w:pPr>
              <w:adjustRightInd w:val="0"/>
              <w:snapToGrid w:val="0"/>
              <w:jc w:val="center"/>
              <w:rPr>
                <w:rFonts w:asciiTheme="minorEastAsia" w:hAnsiTheme="minorEastAsia"/>
              </w:rPr>
            </w:pPr>
          </w:p>
        </w:tc>
        <w:tc>
          <w:tcPr>
            <w:tcW w:w="993" w:type="dxa"/>
            <w:shd w:val="clear" w:color="auto" w:fill="auto"/>
            <w:vAlign w:val="center"/>
          </w:tcPr>
          <w:p>
            <w:pPr>
              <w:adjustRightInd w:val="0"/>
              <w:snapToGrid w:val="0"/>
              <w:jc w:val="center"/>
              <w:rPr>
                <w:rFonts w:asciiTheme="minorEastAsia" w:hAnsiTheme="minorEastAsia"/>
              </w:rPr>
            </w:pPr>
          </w:p>
        </w:tc>
        <w:tc>
          <w:tcPr>
            <w:tcW w:w="1275" w:type="dxa"/>
            <w:shd w:val="clear" w:color="auto" w:fill="auto"/>
            <w:vAlign w:val="center"/>
          </w:tcPr>
          <w:p>
            <w:pPr>
              <w:adjustRightInd w:val="0"/>
              <w:snapToGrid w:val="0"/>
              <w:jc w:val="center"/>
              <w:rPr>
                <w:rFonts w:asciiTheme="minorEastAsia" w:hAnsiTheme="minorEastAsia"/>
              </w:rPr>
            </w:pPr>
          </w:p>
        </w:tc>
        <w:tc>
          <w:tcPr>
            <w:tcW w:w="851" w:type="dxa"/>
            <w:shd w:val="clear" w:color="auto" w:fill="auto"/>
            <w:vAlign w:val="center"/>
          </w:tcPr>
          <w:p>
            <w:pPr>
              <w:adjustRightInd w:val="0"/>
              <w:snapToGrid w:val="0"/>
              <w:jc w:val="center"/>
              <w:rPr>
                <w:rFonts w:asciiTheme="minorEastAsia" w:hAnsiTheme="minorEastAsia"/>
              </w:rPr>
            </w:pPr>
          </w:p>
        </w:tc>
        <w:tc>
          <w:tcPr>
            <w:tcW w:w="1417" w:type="dxa"/>
            <w:shd w:val="clear" w:color="auto" w:fill="auto"/>
            <w:vAlign w:val="center"/>
          </w:tcPr>
          <w:p>
            <w:pPr>
              <w:adjustRightInd w:val="0"/>
              <w:snapToGrid w:val="0"/>
              <w:jc w:val="center"/>
              <w:rPr>
                <w:rFonts w:asciiTheme="minorEastAsia" w:hAnsiTheme="minorEastAsia"/>
              </w:rPr>
            </w:pPr>
          </w:p>
        </w:tc>
        <w:tc>
          <w:tcPr>
            <w:tcW w:w="1466" w:type="dxa"/>
            <w:shd w:val="clear" w:color="auto" w:fill="auto"/>
            <w:vAlign w:val="center"/>
          </w:tcPr>
          <w:p>
            <w:pPr>
              <w:adjustRightInd w:val="0"/>
              <w:snapToGrid w:val="0"/>
              <w:jc w:val="center"/>
              <w:rPr>
                <w:rFonts w:asciiTheme="minorEastAsia" w:hAnsiTheme="minorEastAsia"/>
              </w:rPr>
            </w:pPr>
          </w:p>
        </w:tc>
      </w:tr>
    </w:tbl>
    <w:p>
      <w:pPr>
        <w:pStyle w:val="26"/>
        <w:shd w:val="clear" w:color="auto" w:fill="auto"/>
        <w:adjustRightInd w:val="0"/>
        <w:snapToGrid w:val="0"/>
        <w:spacing w:line="240" w:lineRule="auto"/>
        <w:jc w:val="center"/>
        <w:rPr>
          <w:rFonts w:cs="Times New Roman" w:asciiTheme="minorEastAsia" w:hAnsiTheme="minorEastAsia" w:eastAsiaTheme="minorEastAsia"/>
          <w:b/>
          <w:snapToGrid w:val="0"/>
          <w:kern w:val="0"/>
          <w:sz w:val="21"/>
          <w:szCs w:val="21"/>
        </w:rPr>
      </w:pPr>
      <w:r>
        <w:rPr>
          <w:rFonts w:cs="Times New Roman" w:asciiTheme="minorEastAsia" w:hAnsiTheme="minorEastAsia" w:eastAsiaTheme="minorEastAsia"/>
          <w:snapToGrid w:val="0"/>
          <w:kern w:val="0"/>
          <w:sz w:val="21"/>
          <w:szCs w:val="21"/>
        </w:rPr>
        <w:t>注：温度、相对湿度采用基准值，如有设计精度要求时，按±℃、±%表示幅度。</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供暖。</w:t>
      </w:r>
    </w:p>
    <w:p>
      <w:pPr>
        <w:pStyle w:val="20"/>
        <w:keepNext w:val="0"/>
        <w:keepLines w:val="0"/>
        <w:pageBreakBefore w:val="0"/>
        <w:widowControl w:val="0"/>
        <w:numPr>
          <w:ilvl w:val="0"/>
          <w:numId w:val="60"/>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供暖热负荷；</w:t>
      </w:r>
    </w:p>
    <w:p>
      <w:pPr>
        <w:pStyle w:val="20"/>
        <w:keepNext w:val="0"/>
        <w:keepLines w:val="0"/>
        <w:pageBreakBefore w:val="0"/>
        <w:widowControl w:val="0"/>
        <w:numPr>
          <w:ilvl w:val="0"/>
          <w:numId w:val="60"/>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叙述热源状况、热媒参数、热源系统工作压力、室外管线及系统补水定压方式；</w:t>
      </w:r>
    </w:p>
    <w:p>
      <w:pPr>
        <w:pStyle w:val="20"/>
        <w:keepNext w:val="0"/>
        <w:keepLines w:val="0"/>
        <w:pageBreakBefore w:val="0"/>
        <w:widowControl w:val="0"/>
        <w:numPr>
          <w:ilvl w:val="0"/>
          <w:numId w:val="60"/>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供暖系统形式及管道敷设方式；</w:t>
      </w:r>
    </w:p>
    <w:p>
      <w:pPr>
        <w:pStyle w:val="20"/>
        <w:keepNext w:val="0"/>
        <w:keepLines w:val="0"/>
        <w:pageBreakBefore w:val="0"/>
        <w:widowControl w:val="0"/>
        <w:numPr>
          <w:ilvl w:val="0"/>
          <w:numId w:val="60"/>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供暖热计量及室温控制，系统平衡、调节手段；</w:t>
      </w:r>
    </w:p>
    <w:p>
      <w:pPr>
        <w:pStyle w:val="20"/>
        <w:keepNext w:val="0"/>
        <w:keepLines w:val="0"/>
        <w:pageBreakBefore w:val="0"/>
        <w:widowControl w:val="0"/>
        <w:numPr>
          <w:ilvl w:val="0"/>
          <w:numId w:val="60"/>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供暖设备、散热器类型、管道材料及保温材料的选择。</w:t>
      </w:r>
    </w:p>
    <w:p>
      <w:pPr>
        <w:pStyle w:val="20"/>
        <w:keepNext w:val="0"/>
        <w:keepLines w:val="0"/>
        <w:pageBreakBefore w:val="0"/>
        <w:widowControl w:val="0"/>
        <w:numPr>
          <w:ilvl w:val="0"/>
          <w:numId w:val="58"/>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空调。</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空调冷、热负荷；</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空调系统冷源及冷媒选择，冷水、冷却水参数；</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空调系统热源供给方式及参数；</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各空调区域的空调方式，空调风系统简述，必要的气流组织说明；</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空调水系统设备配置形式和水系统制式，系统平衡、调节手段；</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洁净空调注明净化级别；</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监测与控制简述；</w:t>
      </w:r>
    </w:p>
    <w:p>
      <w:pPr>
        <w:pStyle w:val="20"/>
        <w:keepNext w:val="0"/>
        <w:keepLines w:val="0"/>
        <w:pageBreakBefore w:val="0"/>
        <w:widowControl w:val="0"/>
        <w:numPr>
          <w:ilvl w:val="0"/>
          <w:numId w:val="61"/>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管道、风道材料及保温材料的选择。</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通风。</w:t>
      </w:r>
    </w:p>
    <w:p>
      <w:pPr>
        <w:pStyle w:val="20"/>
        <w:keepNext w:val="0"/>
        <w:keepLines w:val="0"/>
        <w:pageBreakBefore w:val="0"/>
        <w:widowControl w:val="0"/>
        <w:numPr>
          <w:ilvl w:val="0"/>
          <w:numId w:val="62"/>
        </w:numPr>
        <w:shd w:val="clear" w:color="auto" w:fill="auto"/>
        <w:tabs>
          <w:tab w:val="left" w:pos="1087"/>
        </w:tabs>
        <w:kinsoku/>
        <w:wordWrap/>
        <w:overflowPunct/>
        <w:topLinePunct w:val="0"/>
        <w:autoSpaceDE/>
        <w:autoSpaceDN/>
        <w:bidi w:val="0"/>
        <w:adjustRightInd w:val="0"/>
        <w:snapToGrid w:val="0"/>
        <w:spacing w:line="32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设置通风的区域及通风系统形式；</w:t>
      </w:r>
    </w:p>
    <w:p>
      <w:pPr>
        <w:pStyle w:val="20"/>
        <w:keepNext w:val="0"/>
        <w:keepLines w:val="0"/>
        <w:pageBreakBefore w:val="0"/>
        <w:widowControl w:val="0"/>
        <w:numPr>
          <w:ilvl w:val="0"/>
          <w:numId w:val="62"/>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通风量或换气次数；</w:t>
      </w:r>
    </w:p>
    <w:p>
      <w:pPr>
        <w:pStyle w:val="20"/>
        <w:keepNext w:val="0"/>
        <w:keepLines w:val="0"/>
        <w:pageBreakBefore w:val="0"/>
        <w:widowControl w:val="0"/>
        <w:numPr>
          <w:ilvl w:val="0"/>
          <w:numId w:val="62"/>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通风系统设备选择和风量平衡。</w:t>
      </w:r>
    </w:p>
    <w:p>
      <w:pPr>
        <w:pStyle w:val="20"/>
        <w:keepNext w:val="0"/>
        <w:keepLines w:val="0"/>
        <w:pageBreakBefore w:val="0"/>
        <w:widowControl w:val="0"/>
        <w:numPr>
          <w:ilvl w:val="0"/>
          <w:numId w:val="58"/>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防排烟。</w:t>
      </w:r>
    </w:p>
    <w:p>
      <w:pPr>
        <w:pStyle w:val="20"/>
        <w:keepNext w:val="0"/>
        <w:keepLines w:val="0"/>
        <w:pageBreakBefore w:val="0"/>
        <w:widowControl w:val="0"/>
        <w:numPr>
          <w:ilvl w:val="0"/>
          <w:numId w:val="63"/>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简述设置防排烟的区域及其方式；</w:t>
      </w:r>
    </w:p>
    <w:p>
      <w:pPr>
        <w:pStyle w:val="20"/>
        <w:keepNext w:val="0"/>
        <w:keepLines w:val="0"/>
        <w:pageBreakBefore w:val="0"/>
        <w:widowControl w:val="0"/>
        <w:numPr>
          <w:ilvl w:val="0"/>
          <w:numId w:val="63"/>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防排烟系统风量确定；</w:t>
      </w:r>
    </w:p>
    <w:p>
      <w:pPr>
        <w:pStyle w:val="20"/>
        <w:keepNext w:val="0"/>
        <w:keepLines w:val="0"/>
        <w:pageBreakBefore w:val="0"/>
        <w:widowControl w:val="0"/>
        <w:numPr>
          <w:ilvl w:val="0"/>
          <w:numId w:val="63"/>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防排烟系统及其设施配置；</w:t>
      </w:r>
    </w:p>
    <w:p>
      <w:pPr>
        <w:pStyle w:val="20"/>
        <w:keepNext w:val="0"/>
        <w:keepLines w:val="0"/>
        <w:pageBreakBefore w:val="0"/>
        <w:widowControl w:val="0"/>
        <w:numPr>
          <w:ilvl w:val="0"/>
          <w:numId w:val="63"/>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控制方式简述；</w:t>
      </w:r>
    </w:p>
    <w:p>
      <w:pPr>
        <w:pStyle w:val="20"/>
        <w:keepNext w:val="0"/>
        <w:keepLines w:val="0"/>
        <w:pageBreakBefore w:val="0"/>
        <w:widowControl w:val="0"/>
        <w:numPr>
          <w:ilvl w:val="0"/>
          <w:numId w:val="63"/>
        </w:numPr>
        <w:shd w:val="clear" w:color="auto" w:fill="auto"/>
        <w:tabs>
          <w:tab w:val="left" w:pos="108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暖通空调系统的防火措施。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9、空调通风系统的防火、防爆措施。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10、节能设计。</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节能设计采用的各项措施、技术指标，包括有关节能设计标准中涉及的强制性条文的要求。</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11、绿色建筑设计。</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当项目按绿色建筑要求建设时，说明绿色建筑设计目标，采用的主要绿色建筑技术和措施。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12、装配式建筑设计</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当项目按照装配式建筑要求建设时，说明装配式建筑设计目标，采用的主要装配式建筑技术和措施。（如采用装配式时管材材质及接口方式，预留孔洞、沟槽做法要求，预埋套管、管道安装方式和原则等。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13、废气排放处理和降噪、减振等环保措施。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14、需提请在设计审批时解决或确定的主要问题。</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lang w:bidi="en-US"/>
        </w:rPr>
        <w:t>15、</w:t>
      </w:r>
      <w:r>
        <w:rPr>
          <w:rFonts w:hint="eastAsia" w:ascii="仿宋_GB2312" w:hAnsi="Times New Roman" w:eastAsia="仿宋_GB2312" w:cs="Times New Roman"/>
          <w:snapToGrid w:val="0"/>
          <w:kern w:val="0"/>
          <w:sz w:val="21"/>
          <w:szCs w:val="21"/>
        </w:rPr>
        <w:t>设备表。</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20" w:firstLineChars="200"/>
        <w:jc w:val="both"/>
        <w:textAlignment w:val="auto"/>
        <w:outlineLvl w:val="9"/>
        <w:rPr>
          <w:rFonts w:ascii="仿宋_GB2312" w:hAnsi="Times New Roman" w:eastAsia="仿宋_GB2312" w:cs="Times New Roman"/>
          <w:snapToGrid w:val="0"/>
          <w:kern w:val="0"/>
          <w:sz w:val="21"/>
          <w:szCs w:val="21"/>
          <w:lang w:bidi="en-US"/>
        </w:rPr>
      </w:pPr>
      <w:r>
        <w:rPr>
          <w:rFonts w:hint="eastAsia" w:ascii="仿宋_GB2312" w:hAnsi="Times New Roman" w:eastAsia="仿宋_GB2312" w:cs="Times New Roman"/>
          <w:snapToGrid w:val="0"/>
          <w:kern w:val="0"/>
          <w:sz w:val="21"/>
          <w:szCs w:val="21"/>
          <w:lang w:bidi="en-US"/>
        </w:rPr>
        <w:t>列出主要设备的名称、性能参数、数量等。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0"/>
        <w:jc w:val="center"/>
        <w:textAlignment w:val="auto"/>
        <w:outlineLvl w:val="9"/>
        <w:rPr>
          <w:rFonts w:ascii="仿宋_GB2312" w:hAnsi="Times New Roman" w:eastAsia="仿宋_GB2312" w:cs="Times New Roman"/>
          <w:snapToGrid w:val="0"/>
          <w:kern w:val="0"/>
          <w:sz w:val="21"/>
          <w:szCs w:val="21"/>
          <w:lang w:bidi="en-US"/>
        </w:rPr>
      </w:pPr>
      <w:r>
        <w:rPr>
          <w:rFonts w:ascii="仿宋_GB2312" w:hAnsi="Times New Roman" w:eastAsia="仿宋_GB2312" w:cs="Times New Roman"/>
          <w:snapToGrid w:val="0"/>
          <w:kern w:val="0"/>
          <w:sz w:val="21"/>
          <w:szCs w:val="21"/>
          <w:lang w:bidi="en-US"/>
        </w:rPr>
        <w:t>表</w:t>
      </w:r>
      <w:r>
        <w:rPr>
          <w:rFonts w:hint="eastAsia" w:ascii="仿宋_GB2312" w:hAnsi="Times New Roman" w:eastAsia="仿宋_GB2312" w:cs="Times New Roman"/>
          <w:snapToGrid w:val="0"/>
          <w:kern w:val="0"/>
          <w:sz w:val="21"/>
          <w:szCs w:val="21"/>
          <w:lang w:bidi="en-US"/>
        </w:rPr>
        <w:t xml:space="preserve">4  </w:t>
      </w:r>
      <w:r>
        <w:rPr>
          <w:rFonts w:ascii="仿宋_GB2312" w:hAnsi="Times New Roman" w:eastAsia="仿宋_GB2312" w:cs="Times New Roman"/>
          <w:snapToGrid w:val="0"/>
          <w:kern w:val="0"/>
          <w:sz w:val="21"/>
          <w:szCs w:val="21"/>
          <w:lang w:bidi="en-US"/>
        </w:rPr>
        <w:t>设备表</w:t>
      </w:r>
    </w:p>
    <w:tbl>
      <w:tblPr>
        <w:tblStyle w:val="10"/>
        <w:tblW w:w="8952" w:type="dxa"/>
        <w:jc w:val="center"/>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8"/>
        <w:gridCol w:w="898"/>
        <w:gridCol w:w="2370"/>
        <w:gridCol w:w="850"/>
        <w:gridCol w:w="663"/>
        <w:gridCol w:w="1043"/>
        <w:gridCol w:w="113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0" w:hRule="exact"/>
          <w:jc w:val="center"/>
        </w:trPr>
        <w:tc>
          <w:tcPr>
            <w:tcW w:w="1148" w:type="dxa"/>
            <w:shd w:val="clear" w:color="auto" w:fill="auto"/>
            <w:vAlign w:val="center"/>
          </w:tcPr>
          <w:p>
            <w:pPr>
              <w:adjustRightInd w:val="0"/>
              <w:snapToGrid w:val="0"/>
              <w:jc w:val="center"/>
              <w:rPr>
                <w:b/>
                <w:szCs w:val="21"/>
              </w:rPr>
            </w:pPr>
            <w:r>
              <w:rPr>
                <w:b/>
                <w:szCs w:val="21"/>
              </w:rPr>
              <w:t>设备编号</w:t>
            </w:r>
          </w:p>
        </w:tc>
        <w:tc>
          <w:tcPr>
            <w:tcW w:w="898" w:type="dxa"/>
            <w:shd w:val="clear" w:color="auto" w:fill="auto"/>
            <w:vAlign w:val="center"/>
          </w:tcPr>
          <w:p>
            <w:pPr>
              <w:adjustRightInd w:val="0"/>
              <w:snapToGrid w:val="0"/>
              <w:jc w:val="center"/>
              <w:rPr>
                <w:b/>
                <w:szCs w:val="21"/>
              </w:rPr>
            </w:pPr>
            <w:r>
              <w:rPr>
                <w:b/>
                <w:szCs w:val="21"/>
              </w:rPr>
              <w:t>名称</w:t>
            </w:r>
          </w:p>
        </w:tc>
        <w:tc>
          <w:tcPr>
            <w:tcW w:w="2370" w:type="dxa"/>
            <w:shd w:val="clear" w:color="auto" w:fill="auto"/>
            <w:vAlign w:val="center"/>
          </w:tcPr>
          <w:p>
            <w:pPr>
              <w:adjustRightInd w:val="0"/>
              <w:snapToGrid w:val="0"/>
              <w:jc w:val="center"/>
              <w:rPr>
                <w:b/>
                <w:szCs w:val="21"/>
              </w:rPr>
            </w:pPr>
            <w:r>
              <w:rPr>
                <w:b/>
                <w:szCs w:val="21"/>
              </w:rPr>
              <w:t>性能参数</w:t>
            </w:r>
          </w:p>
        </w:tc>
        <w:tc>
          <w:tcPr>
            <w:tcW w:w="850" w:type="dxa"/>
            <w:shd w:val="clear" w:color="auto" w:fill="auto"/>
            <w:vAlign w:val="center"/>
          </w:tcPr>
          <w:p>
            <w:pPr>
              <w:adjustRightInd w:val="0"/>
              <w:snapToGrid w:val="0"/>
              <w:jc w:val="center"/>
              <w:rPr>
                <w:b/>
                <w:szCs w:val="21"/>
              </w:rPr>
            </w:pPr>
            <w:r>
              <w:rPr>
                <w:b/>
                <w:szCs w:val="21"/>
              </w:rPr>
              <w:t>单位</w:t>
            </w:r>
          </w:p>
        </w:tc>
        <w:tc>
          <w:tcPr>
            <w:tcW w:w="663" w:type="dxa"/>
            <w:shd w:val="clear" w:color="auto" w:fill="auto"/>
            <w:vAlign w:val="center"/>
          </w:tcPr>
          <w:p>
            <w:pPr>
              <w:adjustRightInd w:val="0"/>
              <w:snapToGrid w:val="0"/>
              <w:jc w:val="center"/>
              <w:rPr>
                <w:b/>
                <w:szCs w:val="21"/>
              </w:rPr>
            </w:pPr>
            <w:r>
              <w:rPr>
                <w:b/>
                <w:szCs w:val="21"/>
              </w:rPr>
              <w:t>数量</w:t>
            </w:r>
          </w:p>
        </w:tc>
        <w:tc>
          <w:tcPr>
            <w:tcW w:w="1043" w:type="dxa"/>
            <w:shd w:val="clear" w:color="auto" w:fill="auto"/>
            <w:vAlign w:val="center"/>
          </w:tcPr>
          <w:p>
            <w:pPr>
              <w:adjustRightInd w:val="0"/>
              <w:snapToGrid w:val="0"/>
              <w:jc w:val="center"/>
              <w:rPr>
                <w:b/>
                <w:szCs w:val="21"/>
              </w:rPr>
            </w:pPr>
            <w:r>
              <w:rPr>
                <w:b/>
                <w:szCs w:val="21"/>
              </w:rPr>
              <w:t>安装位置</w:t>
            </w:r>
          </w:p>
        </w:tc>
        <w:tc>
          <w:tcPr>
            <w:tcW w:w="1134" w:type="dxa"/>
            <w:shd w:val="clear" w:color="auto" w:fill="auto"/>
            <w:vAlign w:val="center"/>
          </w:tcPr>
          <w:p>
            <w:pPr>
              <w:adjustRightInd w:val="0"/>
              <w:snapToGrid w:val="0"/>
              <w:jc w:val="center"/>
              <w:rPr>
                <w:b/>
                <w:szCs w:val="21"/>
              </w:rPr>
            </w:pPr>
            <w:r>
              <w:rPr>
                <w:b/>
                <w:szCs w:val="21"/>
              </w:rPr>
              <w:t>服务区域</w:t>
            </w:r>
          </w:p>
        </w:tc>
        <w:tc>
          <w:tcPr>
            <w:tcW w:w="846" w:type="dxa"/>
            <w:shd w:val="clear" w:color="auto" w:fill="auto"/>
            <w:vAlign w:val="center"/>
          </w:tcPr>
          <w:p>
            <w:pPr>
              <w:adjustRightInd w:val="0"/>
              <w:snapToGrid w:val="0"/>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6" w:hRule="exact"/>
          <w:jc w:val="center"/>
        </w:trPr>
        <w:tc>
          <w:tcPr>
            <w:tcW w:w="1148" w:type="dxa"/>
            <w:shd w:val="clear" w:color="auto" w:fill="auto"/>
            <w:vAlign w:val="center"/>
          </w:tcPr>
          <w:p>
            <w:pPr>
              <w:adjustRightInd w:val="0"/>
              <w:snapToGrid w:val="0"/>
              <w:jc w:val="center"/>
              <w:rPr>
                <w:szCs w:val="21"/>
              </w:rPr>
            </w:pPr>
          </w:p>
        </w:tc>
        <w:tc>
          <w:tcPr>
            <w:tcW w:w="898" w:type="dxa"/>
            <w:shd w:val="clear" w:color="auto" w:fill="auto"/>
            <w:vAlign w:val="center"/>
          </w:tcPr>
          <w:p>
            <w:pPr>
              <w:adjustRightInd w:val="0"/>
              <w:snapToGrid w:val="0"/>
              <w:jc w:val="center"/>
              <w:rPr>
                <w:szCs w:val="21"/>
              </w:rPr>
            </w:pPr>
          </w:p>
        </w:tc>
        <w:tc>
          <w:tcPr>
            <w:tcW w:w="2370" w:type="dxa"/>
            <w:shd w:val="clear" w:color="auto" w:fill="auto"/>
            <w:vAlign w:val="center"/>
          </w:tcPr>
          <w:p>
            <w:pPr>
              <w:adjustRightInd w:val="0"/>
              <w:snapToGrid w:val="0"/>
              <w:jc w:val="center"/>
              <w:rPr>
                <w:szCs w:val="21"/>
              </w:rPr>
            </w:pPr>
          </w:p>
        </w:tc>
        <w:tc>
          <w:tcPr>
            <w:tcW w:w="850" w:type="dxa"/>
            <w:shd w:val="clear" w:color="auto" w:fill="auto"/>
            <w:vAlign w:val="center"/>
          </w:tcPr>
          <w:p>
            <w:pPr>
              <w:adjustRightInd w:val="0"/>
              <w:snapToGrid w:val="0"/>
              <w:jc w:val="center"/>
              <w:rPr>
                <w:szCs w:val="21"/>
              </w:rPr>
            </w:pPr>
          </w:p>
        </w:tc>
        <w:tc>
          <w:tcPr>
            <w:tcW w:w="663" w:type="dxa"/>
            <w:shd w:val="clear" w:color="auto" w:fill="auto"/>
            <w:vAlign w:val="center"/>
          </w:tcPr>
          <w:p>
            <w:pPr>
              <w:adjustRightInd w:val="0"/>
              <w:snapToGrid w:val="0"/>
              <w:jc w:val="center"/>
              <w:rPr>
                <w:szCs w:val="21"/>
              </w:rPr>
            </w:pPr>
          </w:p>
        </w:tc>
        <w:tc>
          <w:tcPr>
            <w:tcW w:w="1043" w:type="dxa"/>
            <w:shd w:val="clear" w:color="auto" w:fill="auto"/>
            <w:vAlign w:val="center"/>
          </w:tcPr>
          <w:p>
            <w:pPr>
              <w:adjustRightInd w:val="0"/>
              <w:snapToGrid w:val="0"/>
              <w:jc w:val="center"/>
              <w:rPr>
                <w:szCs w:val="21"/>
              </w:rPr>
            </w:pPr>
          </w:p>
        </w:tc>
        <w:tc>
          <w:tcPr>
            <w:tcW w:w="1134" w:type="dxa"/>
            <w:shd w:val="clear" w:color="auto" w:fill="auto"/>
            <w:vAlign w:val="center"/>
          </w:tcPr>
          <w:p>
            <w:pPr>
              <w:adjustRightInd w:val="0"/>
              <w:snapToGrid w:val="0"/>
              <w:jc w:val="center"/>
              <w:rPr>
                <w:szCs w:val="21"/>
              </w:rPr>
            </w:pPr>
          </w:p>
        </w:tc>
        <w:tc>
          <w:tcPr>
            <w:tcW w:w="846" w:type="dxa"/>
            <w:shd w:val="clear" w:color="auto" w:fill="auto"/>
            <w:vAlign w:val="center"/>
          </w:tcPr>
          <w:p>
            <w:pPr>
              <w:adjustRightInd w:val="0"/>
              <w:snapToGrid w:val="0"/>
              <w:jc w:val="center"/>
              <w:rPr>
                <w:szCs w:val="21"/>
              </w:rPr>
            </w:pPr>
          </w:p>
        </w:tc>
      </w:tr>
    </w:tbl>
    <w:p>
      <w:pPr>
        <w:pStyle w:val="24"/>
        <w:shd w:val="clear" w:color="auto" w:fill="auto"/>
        <w:adjustRightInd w:val="0"/>
        <w:snapToGrid w:val="0"/>
        <w:spacing w:line="240" w:lineRule="auto"/>
        <w:ind w:left="735" w:hanging="735" w:hangingChars="350"/>
        <w:jc w:val="both"/>
        <w:rPr>
          <w:rFonts w:cs="Times New Roman" w:asciiTheme="minorEastAsia" w:hAnsiTheme="minorEastAsia" w:eastAsiaTheme="minorEastAsia"/>
          <w:snapToGrid w:val="0"/>
          <w:kern w:val="0"/>
          <w:sz w:val="21"/>
          <w:szCs w:val="21"/>
        </w:rPr>
      </w:pPr>
      <w:r>
        <w:rPr>
          <w:rFonts w:cs="Times New Roman" w:asciiTheme="minorEastAsia" w:hAnsiTheme="minorEastAsia" w:eastAsiaTheme="minorEastAsia"/>
          <w:snapToGrid w:val="0"/>
          <w:color w:val="000000"/>
          <w:kern w:val="0"/>
          <w:sz w:val="21"/>
          <w:szCs w:val="21"/>
          <w:lang w:val="zh-TW" w:eastAsia="zh-TW" w:bidi="zh-TW"/>
        </w:rPr>
        <w:t>注：1</w:t>
      </w:r>
      <w:r>
        <w:rPr>
          <w:rFonts w:hint="eastAsia" w:cs="Times New Roman" w:asciiTheme="minorEastAsia" w:hAnsiTheme="minorEastAsia" w:eastAsiaTheme="minorEastAsia"/>
          <w:snapToGrid w:val="0"/>
          <w:color w:val="000000"/>
          <w:kern w:val="0"/>
          <w:sz w:val="21"/>
          <w:szCs w:val="21"/>
          <w:lang w:val="zh-TW" w:bidi="zh-TW"/>
        </w:rPr>
        <w:t>、</w:t>
      </w:r>
      <w:r>
        <w:rPr>
          <w:rFonts w:cs="Times New Roman" w:asciiTheme="minorEastAsia" w:hAnsiTheme="minorEastAsia" w:eastAsiaTheme="minorEastAsia"/>
          <w:snapToGrid w:val="0"/>
          <w:color w:val="000000"/>
          <w:kern w:val="0"/>
          <w:sz w:val="21"/>
          <w:szCs w:val="21"/>
          <w:lang w:val="zh-TW" w:eastAsia="zh-TW" w:bidi="zh-TW"/>
        </w:rPr>
        <w:t>性能参数栏应注明主要技术数据，并注明锅炉的额定热效率、冷热源机组能效比或性能系数、 多联式空调（热泵</w:t>
      </w:r>
      <w:r>
        <w:rPr>
          <w:rFonts w:cs="Times New Roman" w:asciiTheme="minorEastAsia" w:hAnsiTheme="minorEastAsia" w:eastAsiaTheme="minorEastAsia"/>
          <w:snapToGrid w:val="0"/>
          <w:color w:val="000000"/>
          <w:kern w:val="0"/>
          <w:sz w:val="21"/>
          <w:szCs w:val="21"/>
          <w:lang w:bidi="en-US"/>
        </w:rPr>
        <w:t>）</w:t>
      </w:r>
      <w:r>
        <w:rPr>
          <w:rFonts w:cs="Times New Roman" w:asciiTheme="minorEastAsia" w:hAnsiTheme="minorEastAsia" w:eastAsiaTheme="minorEastAsia"/>
          <w:snapToGrid w:val="0"/>
          <w:color w:val="000000"/>
          <w:kern w:val="0"/>
          <w:sz w:val="21"/>
          <w:szCs w:val="21"/>
          <w:lang w:val="zh-TW" w:eastAsia="zh-TW" w:bidi="zh-TW"/>
        </w:rPr>
        <w:t>机组制冷综合性能系数、风机效率、水泵在设计工作点的效率、热回收设 备的热回收效率及主要设备噪声值等；</w:t>
      </w:r>
    </w:p>
    <w:p>
      <w:pPr>
        <w:pStyle w:val="24"/>
        <w:shd w:val="clear" w:color="auto" w:fill="auto"/>
        <w:adjustRightInd w:val="0"/>
        <w:snapToGrid w:val="0"/>
        <w:spacing w:line="240" w:lineRule="auto"/>
        <w:ind w:firstLine="420" w:firstLineChars="200"/>
        <w:jc w:val="both"/>
        <w:rPr>
          <w:rFonts w:cs="Times New Roman" w:asciiTheme="minorEastAsia" w:hAnsiTheme="minorEastAsia" w:eastAsiaTheme="minorEastAsia"/>
          <w:snapToGrid w:val="0"/>
          <w:kern w:val="0"/>
          <w:sz w:val="21"/>
          <w:szCs w:val="21"/>
        </w:rPr>
      </w:pPr>
      <w:r>
        <w:rPr>
          <w:rFonts w:cs="Times New Roman" w:asciiTheme="minorEastAsia" w:hAnsiTheme="minorEastAsia" w:eastAsiaTheme="minorEastAsia"/>
          <w:snapToGrid w:val="0"/>
          <w:color w:val="000000"/>
          <w:kern w:val="0"/>
          <w:sz w:val="21"/>
          <w:szCs w:val="21"/>
          <w:lang w:val="zh-TW" w:eastAsia="zh-TW" w:bidi="zh-TW"/>
        </w:rPr>
        <w:t>2</w:t>
      </w:r>
      <w:r>
        <w:rPr>
          <w:rFonts w:hint="eastAsia" w:cs="Times New Roman" w:asciiTheme="minorEastAsia" w:hAnsiTheme="minorEastAsia" w:eastAsiaTheme="minorEastAsia"/>
          <w:snapToGrid w:val="0"/>
          <w:color w:val="000000"/>
          <w:kern w:val="0"/>
          <w:sz w:val="21"/>
          <w:szCs w:val="21"/>
          <w:lang w:val="zh-TW" w:bidi="zh-TW"/>
        </w:rPr>
        <w:t>、</w:t>
      </w:r>
      <w:r>
        <w:rPr>
          <w:rFonts w:cs="Times New Roman" w:asciiTheme="minorEastAsia" w:hAnsiTheme="minorEastAsia" w:eastAsiaTheme="minorEastAsia"/>
          <w:snapToGrid w:val="0"/>
          <w:color w:val="000000"/>
          <w:kern w:val="0"/>
          <w:sz w:val="21"/>
          <w:szCs w:val="21"/>
          <w:lang w:val="zh-TW" w:eastAsia="zh-TW" w:bidi="zh-TW"/>
        </w:rPr>
        <w:t>安装位置栏注明主要设备的安装位置，设备数量较少的工程可不设此栏。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1、供暖通风与空气调节初步设计图纸一般包括图例、系统流程图、主要平面图。各种风 道可绘单线图。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2、系统流程图包括冷热源系统、供暖系统、空调水系统、通风及空调风路系统、防排烟 等系统的流程。应表示系统服务区域名称、设备和主要管道和风道所在区域和楼层，标注设备编号、主要风道尺寸和水管干管管径，表示系统主要附件，建筑楼层编号及标高。</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color w:val="000000"/>
          <w:kern w:val="0"/>
          <w:sz w:val="21"/>
          <w:szCs w:val="21"/>
          <w:lang w:val="zh-TW" w:bidi="zh-TW"/>
        </w:rPr>
      </w:pPr>
      <w:r>
        <w:rPr>
          <w:rFonts w:hint="eastAsia" w:ascii="仿宋_GB2312" w:hAnsi="Times New Roman" w:eastAsia="仿宋_GB2312" w:cs="Times New Roman"/>
          <w:snapToGrid w:val="0"/>
          <w:color w:val="000000"/>
          <w:kern w:val="0"/>
          <w:sz w:val="21"/>
          <w:szCs w:val="21"/>
          <w:lang w:val="zh-TW" w:eastAsia="zh-TW" w:bidi="zh-TW"/>
        </w:rPr>
        <w:t>注：当通风及空调风路系统、防排烟等系统跨越楼层不多，系统简单，且在平面图中可较完整地表示系统时，可只绘制平面图，不绘制系统流程图。简单的供暖系统可不绘制流程图。</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color w:val="000000"/>
          <w:kern w:val="0"/>
          <w:sz w:val="21"/>
          <w:szCs w:val="21"/>
          <w:lang w:val="zh-TW" w:bidi="zh-TW"/>
        </w:rPr>
        <w:t>3、</w:t>
      </w:r>
      <w:r>
        <w:rPr>
          <w:rFonts w:hint="eastAsia" w:ascii="仿宋_GB2312" w:hAnsi="Times New Roman" w:eastAsia="仿宋_GB2312" w:cs="Times New Roman"/>
          <w:snapToGrid w:val="0"/>
          <w:kern w:val="0"/>
          <w:sz w:val="21"/>
          <w:szCs w:val="21"/>
        </w:rPr>
        <w:t>供暖平面图。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绘出散热器位置、供暖干管的入口及系统编号。</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4、通风、空调、防排烟平面图。</w:t>
      </w:r>
    </w:p>
    <w:p>
      <w:pPr>
        <w:pStyle w:val="20"/>
        <w:keepNext w:val="0"/>
        <w:keepLines w:val="0"/>
        <w:pageBreakBefore w:val="0"/>
        <w:widowControl w:val="0"/>
        <w:numPr>
          <w:ilvl w:val="0"/>
          <w:numId w:val="64"/>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绘出设备位置、管道和风道走向、风口位置，大型复杂工程还应注出主要干管控制标高和管径，管道交叉复杂处需绘制局部剖面；</w:t>
      </w:r>
    </w:p>
    <w:p>
      <w:pPr>
        <w:pStyle w:val="20"/>
        <w:keepNext w:val="0"/>
        <w:keepLines w:val="0"/>
        <w:pageBreakBefore w:val="0"/>
        <w:widowControl w:val="0"/>
        <w:numPr>
          <w:ilvl w:val="0"/>
          <w:numId w:val="64"/>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多联式空调系统应绘制平面图，表示出冷媒管和冷凝水管走向。</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5、冷热源机房平面图。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绘出主要设备位置、管道走向，标注设备编号等。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(三)</w:t>
      </w:r>
      <w:r>
        <w:rPr>
          <w:rFonts w:hint="eastAsia" w:ascii="仿宋_GB2312" w:hAnsi="Times New Roman" w:eastAsia="仿宋_GB2312" w:cs="Times New Roman"/>
          <w:b/>
          <w:snapToGrid w:val="0"/>
          <w:kern w:val="0"/>
          <w:sz w:val="21"/>
          <w:szCs w:val="21"/>
        </w:rPr>
        <w:t>计算书。</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对于供暖通风与空调工程的热负荷、冷负荷、通风和空调系统风量、空调冷热水量、冷却水量及主要设备的选择，应做初步计算。</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华文中宋" w:hAnsi="华文中宋" w:eastAsia="华文中宋" w:cs="Times New Roman"/>
          <w:snapToGrid w:val="0"/>
          <w:kern w:val="0"/>
          <w:sz w:val="21"/>
          <w:szCs w:val="21"/>
        </w:rPr>
      </w:pPr>
      <w:r>
        <w:rPr>
          <w:rFonts w:hint="eastAsia" w:ascii="华文中宋" w:hAnsi="华文中宋" w:eastAsia="华文中宋" w:cs="Times New Roman"/>
          <w:snapToGrid w:val="0"/>
          <w:kern w:val="0"/>
          <w:sz w:val="21"/>
          <w:szCs w:val="21"/>
          <w:lang w:bidi="en-US"/>
        </w:rPr>
        <w:t>七、</w:t>
      </w:r>
      <w:r>
        <w:rPr>
          <w:rFonts w:hint="eastAsia" w:ascii="华文中宋" w:hAnsi="华文中宋" w:eastAsia="华文中宋" w:cs="Times New Roman"/>
          <w:snapToGrid w:val="0"/>
          <w:kern w:val="0"/>
          <w:sz w:val="21"/>
          <w:szCs w:val="21"/>
        </w:rPr>
        <w:t>热能动力</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(一)</w:t>
      </w:r>
      <w:r>
        <w:rPr>
          <w:rFonts w:hint="eastAsia" w:ascii="仿宋_GB2312" w:hAnsi="Times New Roman" w:eastAsia="仿宋_GB2312" w:cs="Times New Roman"/>
          <w:b/>
          <w:snapToGrid w:val="0"/>
          <w:kern w:val="0"/>
          <w:sz w:val="21"/>
          <w:szCs w:val="21"/>
        </w:rPr>
        <w:t>设计说明书。</w:t>
      </w:r>
    </w:p>
    <w:p>
      <w:pPr>
        <w:pStyle w:val="20"/>
        <w:keepNext w:val="0"/>
        <w:keepLines w:val="0"/>
        <w:pageBreakBefore w:val="0"/>
        <w:widowControl w:val="0"/>
        <w:numPr>
          <w:ilvl w:val="0"/>
          <w:numId w:val="65"/>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设计依据。</w:t>
      </w:r>
    </w:p>
    <w:p>
      <w:pPr>
        <w:pStyle w:val="20"/>
        <w:keepNext w:val="0"/>
        <w:keepLines w:val="0"/>
        <w:pageBreakBefore w:val="0"/>
        <w:widowControl w:val="0"/>
        <w:numPr>
          <w:ilvl w:val="0"/>
          <w:numId w:val="66"/>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本专业设计所执行的主要法规和所采用的主要标准（包括标准的名称、编号及年号和版本号</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66"/>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与本专业设计有关的批准文件和依据性资料（水质分析、地质情况、地下水位、冻土深度、燃料种类等</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66"/>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其它专业提供的设计资料（如总平面布置图、供热分区、热负荷及介质参数、发展要求等)。</w:t>
      </w:r>
    </w:p>
    <w:p>
      <w:pPr>
        <w:pStyle w:val="20"/>
        <w:keepNext w:val="0"/>
        <w:keepLines w:val="0"/>
        <w:pageBreakBefore w:val="0"/>
        <w:widowControl w:val="0"/>
        <w:numPr>
          <w:ilvl w:val="0"/>
          <w:numId w:val="65"/>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设计范围。</w:t>
      </w:r>
    </w:p>
    <w:p>
      <w:pPr>
        <w:pStyle w:val="20"/>
        <w:keepNext w:val="0"/>
        <w:keepLines w:val="0"/>
        <w:pageBreakBefore w:val="0"/>
        <w:widowControl w:val="0"/>
        <w:numPr>
          <w:ilvl w:val="0"/>
          <w:numId w:val="67"/>
        </w:numPr>
        <w:shd w:val="clear" w:color="auto" w:fill="auto"/>
        <w:tabs>
          <w:tab w:val="left" w:pos="104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根据设计任务书和有关设计资料，说明本专业承担的设计范围和分工（当有其它 单位共同设计时</w:t>
      </w:r>
      <w:r>
        <w:rPr>
          <w:rFonts w:hint="eastAsia" w:ascii="仿宋_GB2312" w:hAnsi="Times New Roman" w:eastAsia="仿宋_GB2312" w:cs="Times New Roman"/>
          <w:snapToGrid w:val="0"/>
          <w:kern w:val="0"/>
          <w:sz w:val="21"/>
          <w:szCs w:val="21"/>
          <w:lang w:bidi="en-US"/>
        </w:rPr>
        <w:t>）；</w:t>
      </w:r>
    </w:p>
    <w:p>
      <w:pPr>
        <w:pStyle w:val="20"/>
        <w:keepNext w:val="0"/>
        <w:keepLines w:val="0"/>
        <w:pageBreakBefore w:val="0"/>
        <w:widowControl w:val="0"/>
        <w:numPr>
          <w:ilvl w:val="0"/>
          <w:numId w:val="67"/>
        </w:numPr>
        <w:shd w:val="clear" w:color="auto" w:fill="auto"/>
        <w:tabs>
          <w:tab w:val="left" w:pos="104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对今后发展或扩建的预留；</w:t>
      </w:r>
    </w:p>
    <w:p>
      <w:pPr>
        <w:pStyle w:val="20"/>
        <w:keepNext w:val="0"/>
        <w:keepLines w:val="0"/>
        <w:pageBreakBefore w:val="0"/>
        <w:widowControl w:val="0"/>
        <w:numPr>
          <w:ilvl w:val="0"/>
          <w:numId w:val="67"/>
        </w:numPr>
        <w:shd w:val="clear" w:color="auto" w:fill="auto"/>
        <w:tabs>
          <w:tab w:val="left" w:pos="104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改建、扩建工程，应说明对原有建筑、结构、设备等的利用情况。</w:t>
      </w:r>
    </w:p>
    <w:p>
      <w:pPr>
        <w:pStyle w:val="20"/>
        <w:keepNext w:val="0"/>
        <w:keepLines w:val="0"/>
        <w:pageBreakBefore w:val="0"/>
        <w:widowControl w:val="0"/>
        <w:numPr>
          <w:ilvl w:val="0"/>
          <w:numId w:val="65"/>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锅炉房。</w:t>
      </w:r>
    </w:p>
    <w:p>
      <w:pPr>
        <w:pStyle w:val="20"/>
        <w:keepNext w:val="0"/>
        <w:keepLines w:val="0"/>
        <w:pageBreakBefore w:val="0"/>
        <w:widowControl w:val="0"/>
        <w:numPr>
          <w:ilvl w:val="0"/>
          <w:numId w:val="68"/>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热负荷的确定及锅炉形式的选择：确定计算热负荷，列出各热用户的热负荷表；确定供热介质及参数；确定锅炉形式、规格、台数，并说明备用情况及冬夏季运行台数；</w:t>
      </w:r>
    </w:p>
    <w:p>
      <w:pPr>
        <w:pStyle w:val="20"/>
        <w:keepNext w:val="0"/>
        <w:keepLines w:val="0"/>
        <w:pageBreakBefore w:val="0"/>
        <w:widowControl w:val="0"/>
        <w:numPr>
          <w:ilvl w:val="0"/>
          <w:numId w:val="68"/>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热力系统：应说明热力系统，包括热水循环系统、蒸汽及凝结水系统、水处理系 统、给水系统、定压补水方式、排污系统、供热调节方式、各种水泵的台数及备用情况等；</w:t>
      </w:r>
    </w:p>
    <w:p>
      <w:pPr>
        <w:pStyle w:val="20"/>
        <w:keepNext w:val="0"/>
        <w:keepLines w:val="0"/>
        <w:pageBreakBefore w:val="0"/>
        <w:widowControl w:val="0"/>
        <w:numPr>
          <w:ilvl w:val="0"/>
          <w:numId w:val="68"/>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燃料系统：说明燃料种类、燃料低位发热量、燃料来源，说明烟气排放；当燃料为煤时，说明煤的种类、煤的储存场地及储存时间，确定煤的处理设备、计量设 备及输送设备，确定烟囱的高度、出口直径、材质及位置，鼓、引风设备的选择，确定烟气的除尘、脱硫设备，确定除渣设备；当燃料为油时，说明油的种类，简 介燃油系统，说明油罐位置、大小、数量、油的储存时间和运输方式；当燃料为燃气时，说明燃气种类、燃气压力、燃气计量要求，确定调压站位置；</w:t>
      </w:r>
    </w:p>
    <w:p>
      <w:pPr>
        <w:pStyle w:val="20"/>
        <w:keepNext w:val="0"/>
        <w:keepLines w:val="0"/>
        <w:pageBreakBefore w:val="0"/>
        <w:widowControl w:val="0"/>
        <w:numPr>
          <w:ilvl w:val="0"/>
          <w:numId w:val="68"/>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技术指标：列出建筑面积、供热量、供汽量、燃料消耗量、灰渣排放量、软化水消耗量，自来水消耗量及电容量等。</w:t>
      </w:r>
    </w:p>
    <w:p>
      <w:pPr>
        <w:pStyle w:val="20"/>
        <w:keepNext w:val="0"/>
        <w:keepLines w:val="0"/>
        <w:pageBreakBefore w:val="0"/>
        <w:widowControl w:val="0"/>
        <w:numPr>
          <w:ilvl w:val="0"/>
          <w:numId w:val="65"/>
        </w:numPr>
        <w:shd w:val="clear" w:color="auto" w:fill="auto"/>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动力站房。</w:t>
      </w:r>
    </w:p>
    <w:p>
      <w:pPr>
        <w:pStyle w:val="20"/>
        <w:keepNext w:val="0"/>
        <w:keepLines w:val="0"/>
        <w:pageBreakBefore w:val="0"/>
        <w:widowControl w:val="0"/>
        <w:numPr>
          <w:ilvl w:val="0"/>
          <w:numId w:val="69"/>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热交换站：说明加热、被加热介质及其参数，确定供热负荷，简述热水循环系统，确定热水循环系统的耗电输热比，简述蒸汽及凝结水系统、水处理系统、定压补 水方式等，确定换热器及其他配套辅助设备；</w:t>
      </w:r>
    </w:p>
    <w:p>
      <w:pPr>
        <w:pStyle w:val="20"/>
        <w:keepNext w:val="0"/>
        <w:keepLines w:val="0"/>
        <w:pageBreakBefore w:val="0"/>
        <w:widowControl w:val="0"/>
        <w:numPr>
          <w:ilvl w:val="0"/>
          <w:numId w:val="69"/>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柴油发电机房：确定柴油发电机容量，说明燃气系统、油耗及储油量，说明进风、排风、排烟方式；</w:t>
      </w:r>
    </w:p>
    <w:p>
      <w:pPr>
        <w:pStyle w:val="20"/>
        <w:keepNext w:val="0"/>
        <w:keepLines w:val="0"/>
        <w:pageBreakBefore w:val="0"/>
        <w:widowControl w:val="0"/>
        <w:numPr>
          <w:ilvl w:val="0"/>
          <w:numId w:val="69"/>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燃气调压站：确定调压站位置，确定燃气用气量，简述调压站流程，确定调压器 前后参数，选择调压器；</w:t>
      </w:r>
    </w:p>
    <w:p>
      <w:pPr>
        <w:pStyle w:val="20"/>
        <w:keepNext w:val="0"/>
        <w:keepLines w:val="0"/>
        <w:pageBreakBefore w:val="0"/>
        <w:widowControl w:val="0"/>
        <w:numPr>
          <w:ilvl w:val="0"/>
          <w:numId w:val="69"/>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气体站房：说明各种气体的用途、用量和参数，简述供气系统，选择主要设备；</w:t>
      </w:r>
    </w:p>
    <w:p>
      <w:pPr>
        <w:pStyle w:val="20"/>
        <w:keepNext w:val="0"/>
        <w:keepLines w:val="0"/>
        <w:pageBreakBefore w:val="0"/>
        <w:widowControl w:val="0"/>
        <w:numPr>
          <w:ilvl w:val="0"/>
          <w:numId w:val="69"/>
        </w:numPr>
        <w:shd w:val="clear" w:color="auto" w:fill="auto"/>
        <w:tabs>
          <w:tab w:val="left" w:pos="1027"/>
        </w:tabs>
        <w:kinsoku/>
        <w:wordWrap/>
        <w:overflowPunct/>
        <w:topLinePunct w:val="0"/>
        <w:autoSpaceDE/>
        <w:autoSpaceDN/>
        <w:bidi w:val="0"/>
        <w:adjustRightInd w:val="0"/>
        <w:snapToGrid w:val="0"/>
        <w:spacing w:line="300" w:lineRule="exact"/>
        <w:ind w:left="0"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气体瓶组站：确定气体用途、用量，简述调压和供气方式、简述瓶组站流程，确 定调压器前后参数，确定瓶组容量及数量。</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5、室内管道：确定各种介质负荷及其参数，说明管道及附件的选择，说明管道敷设方式， 选择管道的保温及保护材料。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6、室外管网：确定各种介质负荷及其参数，说明管道走向及敷设方式，选择管材及附件，说明防腐方式，选择管道的保温及保护材料。</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7、节能、环保、消防、安全措施等。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8、绿色建筑设计：当项目设计为绿色建筑时，说明绿色建筑设计目标，采用的主要绿色建筑技术和措施。</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9、需提请设计审批时解决或确定的主要问题。</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(二)</w:t>
      </w:r>
      <w:r>
        <w:rPr>
          <w:rFonts w:hint="eastAsia" w:ascii="仿宋_GB2312" w:hAnsi="Times New Roman" w:eastAsia="仿宋_GB2312" w:cs="Times New Roman"/>
          <w:b/>
          <w:snapToGrid w:val="0"/>
          <w:kern w:val="0"/>
          <w:sz w:val="21"/>
          <w:szCs w:val="21"/>
        </w:rPr>
        <w:t>设计图纸。</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1、热力系统图：表示出热水循环系统、蒸汽及凝结水系统、水处理系统、给水系统、定 压补水方式、排污系统等内容；标明图例符号、主要管径、介质流向及设备编号（应与设备表中编号一致</w:t>
      </w:r>
      <w:r>
        <w:rPr>
          <w:rFonts w:hint="eastAsia" w:ascii="仿宋_GB2312" w:hAnsi="Times New Roman" w:eastAsia="仿宋_GB2312" w:cs="Times New Roman"/>
          <w:snapToGrid w:val="0"/>
          <w:kern w:val="0"/>
          <w:sz w:val="21"/>
          <w:szCs w:val="21"/>
          <w:lang w:bidi="en-US"/>
        </w:rPr>
        <w:t>）；</w:t>
      </w:r>
      <w:r>
        <w:rPr>
          <w:rFonts w:hint="eastAsia" w:ascii="仿宋_GB2312" w:hAnsi="Times New Roman" w:eastAsia="仿宋_GB2312" w:cs="Times New Roman"/>
          <w:snapToGrid w:val="0"/>
          <w:kern w:val="0"/>
          <w:sz w:val="21"/>
          <w:szCs w:val="21"/>
        </w:rPr>
        <w:t>标明就地安装测量仪表位置等；</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2、锅炉房平面图：绘制锅炉房、辅助间及烟囱等的平面图，注明建筑轴线编号、尺寸、标高和房间名称；并布置主要设备，注明定位尺寸及设备编号（应与设备表中编号一致）。对较大型锅炉房根据情况绘制表示锅炉房及相关构筑物的尺寸及相对位置的区域布置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3、其它动力站房：其它动力站房绘制平面布置图及系统原理图。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4、室内外动力管道：室外动力管道根据需要绘制平面走向图。</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r>
        <w:rPr>
          <w:rFonts w:hint="eastAsia" w:ascii="仿宋_GB2312" w:hAnsi="Times New Roman" w:eastAsia="仿宋_GB2312" w:cs="Times New Roman"/>
          <w:b/>
          <w:snapToGrid w:val="0"/>
          <w:kern w:val="0"/>
          <w:sz w:val="21"/>
          <w:szCs w:val="21"/>
          <w:lang w:bidi="en-US"/>
        </w:rPr>
        <w:t>(三)</w:t>
      </w:r>
      <w:r>
        <w:rPr>
          <w:rFonts w:hint="eastAsia" w:ascii="仿宋_GB2312" w:hAnsi="Times New Roman" w:eastAsia="仿宋_GB2312" w:cs="Times New Roman"/>
          <w:b/>
          <w:snapToGrid w:val="0"/>
          <w:kern w:val="0"/>
          <w:sz w:val="21"/>
          <w:szCs w:val="21"/>
        </w:rPr>
        <w:t>主要设备表。</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仿宋_GB2312" w:hAnsi="Times New Roman" w:eastAsia="仿宋_GB2312" w:cs="Times New Roman"/>
          <w:snapToGrid w:val="0"/>
          <w:kern w:val="0"/>
          <w:sz w:val="21"/>
          <w:szCs w:val="21"/>
        </w:rPr>
      </w:pPr>
      <w:r>
        <w:rPr>
          <w:rFonts w:hint="eastAsia" w:ascii="仿宋_GB2312" w:hAnsi="Times New Roman" w:eastAsia="仿宋_GB2312" w:cs="Times New Roman"/>
          <w:snapToGrid w:val="0"/>
          <w:kern w:val="0"/>
          <w:sz w:val="21"/>
          <w:szCs w:val="21"/>
        </w:rPr>
        <w:t>列出主要设备名称、性能参数、单位和数量等，对锅炉设备应注明锅炉效率。</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2" w:firstLineChars="200"/>
        <w:jc w:val="both"/>
        <w:textAlignment w:val="auto"/>
        <w:outlineLvl w:val="9"/>
        <w:rPr>
          <w:rFonts w:ascii="仿宋_GB2312" w:hAnsi="Times New Roman" w:eastAsia="仿宋_GB2312" w:cs="Times New Roman"/>
          <w:b/>
          <w:snapToGrid w:val="0"/>
          <w:kern w:val="0"/>
          <w:sz w:val="21"/>
          <w:szCs w:val="21"/>
        </w:rPr>
      </w:pPr>
      <w:bookmarkStart w:id="19" w:name="bookmark21"/>
      <w:r>
        <w:rPr>
          <w:rFonts w:hint="eastAsia" w:ascii="仿宋_GB2312" w:hAnsi="Times New Roman" w:eastAsia="仿宋_GB2312" w:cs="Times New Roman"/>
          <w:b/>
          <w:snapToGrid w:val="0"/>
          <w:kern w:val="0"/>
          <w:sz w:val="21"/>
          <w:szCs w:val="21"/>
          <w:lang w:bidi="en-US"/>
        </w:rPr>
        <w:t>(四)</w:t>
      </w:r>
      <w:r>
        <w:rPr>
          <w:rFonts w:hint="eastAsia" w:ascii="仿宋_GB2312" w:hAnsi="Times New Roman" w:eastAsia="仿宋_GB2312" w:cs="Times New Roman"/>
          <w:b/>
          <w:snapToGrid w:val="0"/>
          <w:kern w:val="0"/>
          <w:sz w:val="21"/>
          <w:szCs w:val="21"/>
        </w:rPr>
        <w:t>计算书。</w:t>
      </w:r>
      <w:bookmarkEnd w:id="19"/>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line="300" w:lineRule="exact"/>
        <w:ind w:firstLine="420" w:firstLineChars="200"/>
        <w:jc w:val="both"/>
        <w:textAlignment w:val="auto"/>
        <w:outlineLvl w:val="9"/>
        <w:rPr>
          <w:rFonts w:ascii="黑体" w:eastAsia="黑体"/>
          <w:b/>
          <w:snapToGrid w:val="0"/>
          <w:kern w:val="0"/>
          <w:sz w:val="21"/>
          <w:szCs w:val="21"/>
        </w:rPr>
      </w:pPr>
      <w:r>
        <w:rPr>
          <w:rFonts w:hint="eastAsia" w:ascii="仿宋_GB2312" w:hAnsi="Times New Roman" w:eastAsia="仿宋_GB2312" w:cs="Times New Roman"/>
          <w:snapToGrid w:val="0"/>
          <w:kern w:val="0"/>
          <w:sz w:val="21"/>
          <w:szCs w:val="21"/>
        </w:rPr>
        <w:t>对于负荷、水电和燃料消耗量、主要管道管径、主要设备选择等，应做初步计算。</w:t>
      </w:r>
    </w:p>
    <w:sectPr>
      <w:pgSz w:w="11906" w:h="16838"/>
      <w:pgMar w:top="2041" w:right="1474" w:bottom="1871" w:left="2098"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
    <w:altName w:val="宋体"/>
    <w:panose1 w:val="02020309000000000000"/>
    <w:charset w:val="88"/>
    <w:family w:val="modern"/>
    <w:pitch w:val="default"/>
    <w:sig w:usb0="00000000" w:usb1="00000000" w:usb2="00000016" w:usb3="00000000" w:csb0="00100001" w:csb1="00000000"/>
  </w:font>
  <w:font w:name="Tahoma">
    <w:altName w:val="DejaVu Sans"/>
    <w:panose1 w:val="020B0604030504040204"/>
    <w:charset w:val="00"/>
    <w:family w:val="swiss"/>
    <w:pitch w:val="default"/>
    <w:sig w:usb0="00000000" w:usb1="00000000" w:usb2="00000008" w:usb3="00000000" w:csb0="000101F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27736"/>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8299"/>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6BE"/>
    <w:multiLevelType w:val="multilevel"/>
    <w:tmpl w:val="002126BE"/>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159545F"/>
    <w:multiLevelType w:val="multilevel"/>
    <w:tmpl w:val="0159545F"/>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4FC5A8E"/>
    <w:multiLevelType w:val="multilevel"/>
    <w:tmpl w:val="04FC5A8E"/>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05694EF4"/>
    <w:multiLevelType w:val="multilevel"/>
    <w:tmpl w:val="05694EF4"/>
    <w:lvl w:ilvl="0" w:tentative="0">
      <w:start w:val="1"/>
      <w:numFmt w:val="decimal"/>
      <w:lvlText w:val="(%1)"/>
      <w:lvlJc w:val="left"/>
      <w:pPr>
        <w:ind w:left="1775" w:hanging="720"/>
      </w:pPr>
      <w:rPr>
        <w:rFonts w:hint="default"/>
        <w:color w:val="000000"/>
      </w:rPr>
    </w:lvl>
    <w:lvl w:ilvl="1" w:tentative="0">
      <w:start w:val="1"/>
      <w:numFmt w:val="lowerLetter"/>
      <w:lvlText w:val="%2)"/>
      <w:lvlJc w:val="left"/>
      <w:pPr>
        <w:ind w:left="1895" w:hanging="420"/>
      </w:pPr>
    </w:lvl>
    <w:lvl w:ilvl="2" w:tentative="0">
      <w:start w:val="1"/>
      <w:numFmt w:val="lowerRoman"/>
      <w:lvlText w:val="%3."/>
      <w:lvlJc w:val="right"/>
      <w:pPr>
        <w:ind w:left="2315" w:hanging="420"/>
      </w:pPr>
    </w:lvl>
    <w:lvl w:ilvl="3" w:tentative="0">
      <w:start w:val="1"/>
      <w:numFmt w:val="decimal"/>
      <w:lvlText w:val="%4."/>
      <w:lvlJc w:val="left"/>
      <w:pPr>
        <w:ind w:left="2735" w:hanging="420"/>
      </w:pPr>
    </w:lvl>
    <w:lvl w:ilvl="4" w:tentative="0">
      <w:start w:val="1"/>
      <w:numFmt w:val="lowerLetter"/>
      <w:lvlText w:val="%5)"/>
      <w:lvlJc w:val="left"/>
      <w:pPr>
        <w:ind w:left="3155" w:hanging="420"/>
      </w:pPr>
    </w:lvl>
    <w:lvl w:ilvl="5" w:tentative="0">
      <w:start w:val="1"/>
      <w:numFmt w:val="lowerRoman"/>
      <w:lvlText w:val="%6."/>
      <w:lvlJc w:val="right"/>
      <w:pPr>
        <w:ind w:left="3575" w:hanging="420"/>
      </w:pPr>
    </w:lvl>
    <w:lvl w:ilvl="6" w:tentative="0">
      <w:start w:val="1"/>
      <w:numFmt w:val="decimal"/>
      <w:lvlText w:val="%7."/>
      <w:lvlJc w:val="left"/>
      <w:pPr>
        <w:ind w:left="3995" w:hanging="420"/>
      </w:pPr>
    </w:lvl>
    <w:lvl w:ilvl="7" w:tentative="0">
      <w:start w:val="1"/>
      <w:numFmt w:val="lowerLetter"/>
      <w:lvlText w:val="%8)"/>
      <w:lvlJc w:val="left"/>
      <w:pPr>
        <w:ind w:left="4415" w:hanging="420"/>
      </w:pPr>
    </w:lvl>
    <w:lvl w:ilvl="8" w:tentative="0">
      <w:start w:val="1"/>
      <w:numFmt w:val="lowerRoman"/>
      <w:lvlText w:val="%9."/>
      <w:lvlJc w:val="right"/>
      <w:pPr>
        <w:ind w:left="4835" w:hanging="420"/>
      </w:pPr>
    </w:lvl>
  </w:abstractNum>
  <w:abstractNum w:abstractNumId="4">
    <w:nsid w:val="07723F0D"/>
    <w:multiLevelType w:val="multilevel"/>
    <w:tmpl w:val="07723F0D"/>
    <w:lvl w:ilvl="0" w:tentative="0">
      <w:start w:val="1"/>
      <w:numFmt w:val="decimal"/>
      <w:lvlText w:val="(%1)"/>
      <w:lvlJc w:val="left"/>
      <w:pPr>
        <w:ind w:left="2030" w:hanging="975"/>
      </w:pPr>
      <w:rPr>
        <w:rFonts w:hint="default"/>
        <w:color w:val="000000"/>
      </w:rPr>
    </w:lvl>
    <w:lvl w:ilvl="1" w:tentative="0">
      <w:start w:val="1"/>
      <w:numFmt w:val="lowerLetter"/>
      <w:lvlText w:val="%2)"/>
      <w:lvlJc w:val="left"/>
      <w:pPr>
        <w:ind w:left="1895" w:hanging="420"/>
      </w:pPr>
    </w:lvl>
    <w:lvl w:ilvl="2" w:tentative="0">
      <w:start w:val="1"/>
      <w:numFmt w:val="lowerRoman"/>
      <w:lvlText w:val="%3."/>
      <w:lvlJc w:val="right"/>
      <w:pPr>
        <w:ind w:left="2315" w:hanging="420"/>
      </w:pPr>
    </w:lvl>
    <w:lvl w:ilvl="3" w:tentative="0">
      <w:start w:val="1"/>
      <w:numFmt w:val="decimal"/>
      <w:lvlText w:val="%4."/>
      <w:lvlJc w:val="left"/>
      <w:pPr>
        <w:ind w:left="2735" w:hanging="420"/>
      </w:pPr>
    </w:lvl>
    <w:lvl w:ilvl="4" w:tentative="0">
      <w:start w:val="1"/>
      <w:numFmt w:val="lowerLetter"/>
      <w:lvlText w:val="%5)"/>
      <w:lvlJc w:val="left"/>
      <w:pPr>
        <w:ind w:left="3155" w:hanging="420"/>
      </w:pPr>
    </w:lvl>
    <w:lvl w:ilvl="5" w:tentative="0">
      <w:start w:val="1"/>
      <w:numFmt w:val="lowerRoman"/>
      <w:lvlText w:val="%6."/>
      <w:lvlJc w:val="right"/>
      <w:pPr>
        <w:ind w:left="3575" w:hanging="420"/>
      </w:pPr>
    </w:lvl>
    <w:lvl w:ilvl="6" w:tentative="0">
      <w:start w:val="1"/>
      <w:numFmt w:val="decimal"/>
      <w:lvlText w:val="%7."/>
      <w:lvlJc w:val="left"/>
      <w:pPr>
        <w:ind w:left="3995" w:hanging="420"/>
      </w:pPr>
    </w:lvl>
    <w:lvl w:ilvl="7" w:tentative="0">
      <w:start w:val="1"/>
      <w:numFmt w:val="lowerLetter"/>
      <w:lvlText w:val="%8)"/>
      <w:lvlJc w:val="left"/>
      <w:pPr>
        <w:ind w:left="4415" w:hanging="420"/>
      </w:pPr>
    </w:lvl>
    <w:lvl w:ilvl="8" w:tentative="0">
      <w:start w:val="1"/>
      <w:numFmt w:val="lowerRoman"/>
      <w:lvlText w:val="%9."/>
      <w:lvlJc w:val="right"/>
      <w:pPr>
        <w:ind w:left="4835" w:hanging="420"/>
      </w:pPr>
    </w:lvl>
  </w:abstractNum>
  <w:abstractNum w:abstractNumId="5">
    <w:nsid w:val="09B52582"/>
    <w:multiLevelType w:val="multilevel"/>
    <w:tmpl w:val="09B52582"/>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0A7B4FBC"/>
    <w:multiLevelType w:val="multilevel"/>
    <w:tmpl w:val="0A7B4FBC"/>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0ADB3558"/>
    <w:multiLevelType w:val="multilevel"/>
    <w:tmpl w:val="0ADB3558"/>
    <w:lvl w:ilvl="0" w:tentative="0">
      <w:start w:val="1"/>
      <w:numFmt w:val="decimal"/>
      <w:lvlText w:val="(%1)"/>
      <w:lvlJc w:val="left"/>
      <w:pPr>
        <w:ind w:left="1201" w:hanging="4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8">
    <w:nsid w:val="0BE04FD9"/>
    <w:multiLevelType w:val="multilevel"/>
    <w:tmpl w:val="0BE04FD9"/>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10B11246"/>
    <w:multiLevelType w:val="multilevel"/>
    <w:tmpl w:val="10B11246"/>
    <w:lvl w:ilvl="0" w:tentative="0">
      <w:start w:val="1"/>
      <w:numFmt w:val="decimal"/>
      <w:lvlText w:val="(%1)"/>
      <w:lvlJc w:val="left"/>
      <w:pPr>
        <w:ind w:left="2060" w:hanging="1005"/>
      </w:pPr>
      <w:rPr>
        <w:rFonts w:hint="default"/>
        <w:color w:val="000000"/>
      </w:rPr>
    </w:lvl>
    <w:lvl w:ilvl="1" w:tentative="0">
      <w:start w:val="1"/>
      <w:numFmt w:val="lowerLetter"/>
      <w:lvlText w:val="%2)"/>
      <w:lvlJc w:val="left"/>
      <w:pPr>
        <w:ind w:left="1895" w:hanging="420"/>
      </w:pPr>
    </w:lvl>
    <w:lvl w:ilvl="2" w:tentative="0">
      <w:start w:val="1"/>
      <w:numFmt w:val="lowerRoman"/>
      <w:lvlText w:val="%3."/>
      <w:lvlJc w:val="right"/>
      <w:pPr>
        <w:ind w:left="2315" w:hanging="420"/>
      </w:pPr>
    </w:lvl>
    <w:lvl w:ilvl="3" w:tentative="0">
      <w:start w:val="1"/>
      <w:numFmt w:val="decimal"/>
      <w:lvlText w:val="%4."/>
      <w:lvlJc w:val="left"/>
      <w:pPr>
        <w:ind w:left="2735" w:hanging="420"/>
      </w:pPr>
    </w:lvl>
    <w:lvl w:ilvl="4" w:tentative="0">
      <w:start w:val="1"/>
      <w:numFmt w:val="lowerLetter"/>
      <w:lvlText w:val="%5)"/>
      <w:lvlJc w:val="left"/>
      <w:pPr>
        <w:ind w:left="3155" w:hanging="420"/>
      </w:pPr>
    </w:lvl>
    <w:lvl w:ilvl="5" w:tentative="0">
      <w:start w:val="1"/>
      <w:numFmt w:val="lowerRoman"/>
      <w:lvlText w:val="%6."/>
      <w:lvlJc w:val="right"/>
      <w:pPr>
        <w:ind w:left="3575" w:hanging="420"/>
      </w:pPr>
    </w:lvl>
    <w:lvl w:ilvl="6" w:tentative="0">
      <w:start w:val="1"/>
      <w:numFmt w:val="decimal"/>
      <w:lvlText w:val="%7."/>
      <w:lvlJc w:val="left"/>
      <w:pPr>
        <w:ind w:left="3995" w:hanging="420"/>
      </w:pPr>
    </w:lvl>
    <w:lvl w:ilvl="7" w:tentative="0">
      <w:start w:val="1"/>
      <w:numFmt w:val="lowerLetter"/>
      <w:lvlText w:val="%8)"/>
      <w:lvlJc w:val="left"/>
      <w:pPr>
        <w:ind w:left="4415" w:hanging="420"/>
      </w:pPr>
    </w:lvl>
    <w:lvl w:ilvl="8" w:tentative="0">
      <w:start w:val="1"/>
      <w:numFmt w:val="lowerRoman"/>
      <w:lvlText w:val="%9."/>
      <w:lvlJc w:val="right"/>
      <w:pPr>
        <w:ind w:left="4835" w:hanging="420"/>
      </w:pPr>
    </w:lvl>
  </w:abstractNum>
  <w:abstractNum w:abstractNumId="10">
    <w:nsid w:val="16073DDB"/>
    <w:multiLevelType w:val="multilevel"/>
    <w:tmpl w:val="16073DDB"/>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172A4DE6"/>
    <w:multiLevelType w:val="multilevel"/>
    <w:tmpl w:val="172A4DE6"/>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1A0C041D"/>
    <w:multiLevelType w:val="multilevel"/>
    <w:tmpl w:val="1A0C041D"/>
    <w:lvl w:ilvl="0" w:tentative="0">
      <w:start w:val="1"/>
      <w:numFmt w:val="decimal"/>
      <w:lvlText w:val="(%1)"/>
      <w:lvlJc w:val="left"/>
      <w:pPr>
        <w:ind w:left="1587" w:hanging="10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A125716"/>
    <w:multiLevelType w:val="multilevel"/>
    <w:tmpl w:val="1A125716"/>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1A9447EC"/>
    <w:multiLevelType w:val="multilevel"/>
    <w:tmpl w:val="1A9447EC"/>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20552576"/>
    <w:multiLevelType w:val="multilevel"/>
    <w:tmpl w:val="20552576"/>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80621B3"/>
    <w:multiLevelType w:val="multilevel"/>
    <w:tmpl w:val="280621B3"/>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95D0DE1"/>
    <w:multiLevelType w:val="multilevel"/>
    <w:tmpl w:val="295D0DE1"/>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2C347649"/>
    <w:multiLevelType w:val="multilevel"/>
    <w:tmpl w:val="2C347649"/>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9">
    <w:nsid w:val="2CC37BA2"/>
    <w:multiLevelType w:val="multilevel"/>
    <w:tmpl w:val="2CC37BA2"/>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0">
    <w:nsid w:val="30526A45"/>
    <w:multiLevelType w:val="multilevel"/>
    <w:tmpl w:val="30526A45"/>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1C22C56"/>
    <w:multiLevelType w:val="multilevel"/>
    <w:tmpl w:val="31C22C56"/>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2AF153B"/>
    <w:multiLevelType w:val="multilevel"/>
    <w:tmpl w:val="32AF153B"/>
    <w:lvl w:ilvl="0" w:tentative="0">
      <w:start w:val="1"/>
      <w:numFmt w:val="decimal"/>
      <w:lvlText w:val="%1、"/>
      <w:lvlJc w:val="left"/>
      <w:pPr>
        <w:ind w:left="1280" w:hanging="720"/>
      </w:pPr>
      <w:rPr>
        <w:rFonts w:hint="default"/>
        <w:color w:val="00000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3452471"/>
    <w:multiLevelType w:val="multilevel"/>
    <w:tmpl w:val="33452471"/>
    <w:lvl w:ilvl="0" w:tentative="0">
      <w:start w:val="1"/>
      <w:numFmt w:val="decimal"/>
      <w:lvlText w:val="(%1)"/>
      <w:lvlJc w:val="left"/>
      <w:pPr>
        <w:ind w:left="1110" w:hanging="45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4">
    <w:nsid w:val="33917CCB"/>
    <w:multiLevelType w:val="multilevel"/>
    <w:tmpl w:val="33917CCB"/>
    <w:lvl w:ilvl="0" w:tentative="0">
      <w:start w:val="1"/>
      <w:numFmt w:val="decimal"/>
      <w:lvlText w:val="(%1)"/>
      <w:lvlJc w:val="left"/>
      <w:pPr>
        <w:ind w:left="1201" w:hanging="4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25">
    <w:nsid w:val="34C645CA"/>
    <w:multiLevelType w:val="multilevel"/>
    <w:tmpl w:val="34C645CA"/>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6">
    <w:nsid w:val="35CC17D2"/>
    <w:multiLevelType w:val="multilevel"/>
    <w:tmpl w:val="35CC17D2"/>
    <w:lvl w:ilvl="0" w:tentative="0">
      <w:start w:val="1"/>
      <w:numFmt w:val="decimal"/>
      <w:lvlText w:val="（%1）"/>
      <w:lvlJc w:val="left"/>
      <w:pPr>
        <w:ind w:left="1730" w:hanging="750"/>
      </w:pPr>
      <w:rPr>
        <w:rFonts w:hint="default"/>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27">
    <w:nsid w:val="36BD2AC1"/>
    <w:multiLevelType w:val="multilevel"/>
    <w:tmpl w:val="36BD2AC1"/>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3AC85B64"/>
    <w:multiLevelType w:val="multilevel"/>
    <w:tmpl w:val="3AC85B64"/>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3D047D57"/>
    <w:multiLevelType w:val="multilevel"/>
    <w:tmpl w:val="3D047D57"/>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3E882554"/>
    <w:multiLevelType w:val="multilevel"/>
    <w:tmpl w:val="3E882554"/>
    <w:lvl w:ilvl="0" w:tentative="0">
      <w:start w:val="1"/>
      <w:numFmt w:val="decimal"/>
      <w:lvlText w:val="(%1)"/>
      <w:lvlJc w:val="left"/>
      <w:pPr>
        <w:ind w:left="1801" w:hanging="10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31">
    <w:nsid w:val="3F636B3F"/>
    <w:multiLevelType w:val="multilevel"/>
    <w:tmpl w:val="3F636B3F"/>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3FEE4907"/>
    <w:multiLevelType w:val="multilevel"/>
    <w:tmpl w:val="3FEE4907"/>
    <w:lvl w:ilvl="0" w:tentative="0">
      <w:start w:val="1"/>
      <w:numFmt w:val="decimal"/>
      <w:lvlText w:val="(%1)"/>
      <w:lvlJc w:val="left"/>
      <w:pPr>
        <w:ind w:left="1501" w:hanging="90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3">
    <w:nsid w:val="40511EAC"/>
    <w:multiLevelType w:val="multilevel"/>
    <w:tmpl w:val="40511EAC"/>
    <w:lvl w:ilvl="0" w:tentative="0">
      <w:start w:val="1"/>
      <w:numFmt w:val="decimal"/>
      <w:lvlText w:val="(%1)"/>
      <w:lvlJc w:val="left"/>
      <w:pPr>
        <w:ind w:left="1015" w:hanging="45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4">
    <w:nsid w:val="42C011F9"/>
    <w:multiLevelType w:val="multilevel"/>
    <w:tmpl w:val="42C011F9"/>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5">
    <w:nsid w:val="44496CF2"/>
    <w:multiLevelType w:val="multilevel"/>
    <w:tmpl w:val="44496CF2"/>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6">
    <w:nsid w:val="45150707"/>
    <w:multiLevelType w:val="multilevel"/>
    <w:tmpl w:val="45150707"/>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7">
    <w:nsid w:val="45D54B62"/>
    <w:multiLevelType w:val="multilevel"/>
    <w:tmpl w:val="45D54B62"/>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8">
    <w:nsid w:val="49370DEF"/>
    <w:multiLevelType w:val="multilevel"/>
    <w:tmpl w:val="49370DEF"/>
    <w:lvl w:ilvl="0" w:tentative="0">
      <w:start w:val="1"/>
      <w:numFmt w:val="decimal"/>
      <w:lvlText w:val="(%1)"/>
      <w:lvlJc w:val="left"/>
      <w:pPr>
        <w:ind w:left="1565" w:hanging="720"/>
      </w:pPr>
      <w:rPr>
        <w:rFonts w:hint="default"/>
        <w:color w:val="000000"/>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39">
    <w:nsid w:val="4B6E1252"/>
    <w:multiLevelType w:val="multilevel"/>
    <w:tmpl w:val="4B6E1252"/>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0">
    <w:nsid w:val="4CBC068E"/>
    <w:multiLevelType w:val="multilevel"/>
    <w:tmpl w:val="4CBC068E"/>
    <w:lvl w:ilvl="0" w:tentative="0">
      <w:start w:val="1"/>
      <w:numFmt w:val="decimal"/>
      <w:lvlText w:val="(%1)"/>
      <w:lvlJc w:val="left"/>
      <w:pPr>
        <w:ind w:left="2045" w:hanging="990"/>
      </w:pPr>
      <w:rPr>
        <w:rFonts w:hint="default"/>
        <w:color w:val="000000"/>
      </w:rPr>
    </w:lvl>
    <w:lvl w:ilvl="1" w:tentative="0">
      <w:start w:val="1"/>
      <w:numFmt w:val="lowerLetter"/>
      <w:lvlText w:val="%2)"/>
      <w:lvlJc w:val="left"/>
      <w:pPr>
        <w:ind w:left="1895" w:hanging="420"/>
      </w:pPr>
    </w:lvl>
    <w:lvl w:ilvl="2" w:tentative="0">
      <w:start w:val="1"/>
      <w:numFmt w:val="lowerRoman"/>
      <w:lvlText w:val="%3."/>
      <w:lvlJc w:val="right"/>
      <w:pPr>
        <w:ind w:left="2315" w:hanging="420"/>
      </w:pPr>
    </w:lvl>
    <w:lvl w:ilvl="3" w:tentative="0">
      <w:start w:val="1"/>
      <w:numFmt w:val="decimal"/>
      <w:lvlText w:val="%4."/>
      <w:lvlJc w:val="left"/>
      <w:pPr>
        <w:ind w:left="2735" w:hanging="420"/>
      </w:pPr>
    </w:lvl>
    <w:lvl w:ilvl="4" w:tentative="0">
      <w:start w:val="1"/>
      <w:numFmt w:val="lowerLetter"/>
      <w:lvlText w:val="%5)"/>
      <w:lvlJc w:val="left"/>
      <w:pPr>
        <w:ind w:left="3155" w:hanging="420"/>
      </w:pPr>
    </w:lvl>
    <w:lvl w:ilvl="5" w:tentative="0">
      <w:start w:val="1"/>
      <w:numFmt w:val="lowerRoman"/>
      <w:lvlText w:val="%6."/>
      <w:lvlJc w:val="right"/>
      <w:pPr>
        <w:ind w:left="3575" w:hanging="420"/>
      </w:pPr>
    </w:lvl>
    <w:lvl w:ilvl="6" w:tentative="0">
      <w:start w:val="1"/>
      <w:numFmt w:val="decimal"/>
      <w:lvlText w:val="%7."/>
      <w:lvlJc w:val="left"/>
      <w:pPr>
        <w:ind w:left="3995" w:hanging="420"/>
      </w:pPr>
    </w:lvl>
    <w:lvl w:ilvl="7" w:tentative="0">
      <w:start w:val="1"/>
      <w:numFmt w:val="lowerLetter"/>
      <w:lvlText w:val="%8)"/>
      <w:lvlJc w:val="left"/>
      <w:pPr>
        <w:ind w:left="4415" w:hanging="420"/>
      </w:pPr>
    </w:lvl>
    <w:lvl w:ilvl="8" w:tentative="0">
      <w:start w:val="1"/>
      <w:numFmt w:val="lowerRoman"/>
      <w:lvlText w:val="%9."/>
      <w:lvlJc w:val="right"/>
      <w:pPr>
        <w:ind w:left="4835" w:hanging="420"/>
      </w:pPr>
    </w:lvl>
  </w:abstractNum>
  <w:abstractNum w:abstractNumId="41">
    <w:nsid w:val="4E3F18E4"/>
    <w:multiLevelType w:val="multilevel"/>
    <w:tmpl w:val="4E3F18E4"/>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2">
    <w:nsid w:val="4EAA2562"/>
    <w:multiLevelType w:val="multilevel"/>
    <w:tmpl w:val="4EAA2562"/>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F5951E9"/>
    <w:multiLevelType w:val="multilevel"/>
    <w:tmpl w:val="4F5951E9"/>
    <w:lvl w:ilvl="0" w:tentative="0">
      <w:start w:val="1"/>
      <w:numFmt w:val="decimal"/>
      <w:lvlText w:val="(%1)"/>
      <w:lvlJc w:val="left"/>
      <w:pPr>
        <w:ind w:left="1774" w:hanging="720"/>
      </w:pPr>
      <w:rPr>
        <w:rFonts w:hint="default"/>
        <w:color w:val="000000"/>
      </w:rPr>
    </w:lvl>
    <w:lvl w:ilvl="1" w:tentative="0">
      <w:start w:val="1"/>
      <w:numFmt w:val="lowerLetter"/>
      <w:lvlText w:val="%2)"/>
      <w:lvlJc w:val="left"/>
      <w:pPr>
        <w:ind w:left="1894" w:hanging="420"/>
      </w:pPr>
    </w:lvl>
    <w:lvl w:ilvl="2" w:tentative="0">
      <w:start w:val="1"/>
      <w:numFmt w:val="lowerRoman"/>
      <w:lvlText w:val="%3."/>
      <w:lvlJc w:val="right"/>
      <w:pPr>
        <w:ind w:left="2314" w:hanging="420"/>
      </w:pPr>
    </w:lvl>
    <w:lvl w:ilvl="3" w:tentative="0">
      <w:start w:val="1"/>
      <w:numFmt w:val="decimal"/>
      <w:lvlText w:val="%4."/>
      <w:lvlJc w:val="left"/>
      <w:pPr>
        <w:ind w:left="2734" w:hanging="420"/>
      </w:pPr>
    </w:lvl>
    <w:lvl w:ilvl="4" w:tentative="0">
      <w:start w:val="1"/>
      <w:numFmt w:val="lowerLetter"/>
      <w:lvlText w:val="%5)"/>
      <w:lvlJc w:val="left"/>
      <w:pPr>
        <w:ind w:left="3154" w:hanging="420"/>
      </w:pPr>
    </w:lvl>
    <w:lvl w:ilvl="5" w:tentative="0">
      <w:start w:val="1"/>
      <w:numFmt w:val="lowerRoman"/>
      <w:lvlText w:val="%6."/>
      <w:lvlJc w:val="right"/>
      <w:pPr>
        <w:ind w:left="3574" w:hanging="420"/>
      </w:pPr>
    </w:lvl>
    <w:lvl w:ilvl="6" w:tentative="0">
      <w:start w:val="1"/>
      <w:numFmt w:val="decimal"/>
      <w:lvlText w:val="%7."/>
      <w:lvlJc w:val="left"/>
      <w:pPr>
        <w:ind w:left="3994" w:hanging="420"/>
      </w:pPr>
    </w:lvl>
    <w:lvl w:ilvl="7" w:tentative="0">
      <w:start w:val="1"/>
      <w:numFmt w:val="lowerLetter"/>
      <w:lvlText w:val="%8)"/>
      <w:lvlJc w:val="left"/>
      <w:pPr>
        <w:ind w:left="4414" w:hanging="420"/>
      </w:pPr>
    </w:lvl>
    <w:lvl w:ilvl="8" w:tentative="0">
      <w:start w:val="1"/>
      <w:numFmt w:val="lowerRoman"/>
      <w:lvlText w:val="%9."/>
      <w:lvlJc w:val="right"/>
      <w:pPr>
        <w:ind w:left="4834" w:hanging="420"/>
      </w:pPr>
    </w:lvl>
  </w:abstractNum>
  <w:abstractNum w:abstractNumId="44">
    <w:nsid w:val="5481326D"/>
    <w:multiLevelType w:val="multilevel"/>
    <w:tmpl w:val="5481326D"/>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5">
    <w:nsid w:val="54D36D64"/>
    <w:multiLevelType w:val="multilevel"/>
    <w:tmpl w:val="54D36D64"/>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6">
    <w:nsid w:val="54D8315F"/>
    <w:multiLevelType w:val="multilevel"/>
    <w:tmpl w:val="54D8315F"/>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7">
    <w:nsid w:val="553F0A3B"/>
    <w:multiLevelType w:val="multilevel"/>
    <w:tmpl w:val="553F0A3B"/>
    <w:lvl w:ilvl="0" w:tentative="0">
      <w:start w:val="1"/>
      <w:numFmt w:val="decimal"/>
      <w:lvlText w:val="(%1)"/>
      <w:lvlJc w:val="left"/>
      <w:pPr>
        <w:ind w:left="1051" w:hanging="45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48">
    <w:nsid w:val="56A9475B"/>
    <w:multiLevelType w:val="multilevel"/>
    <w:tmpl w:val="56A9475B"/>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9">
    <w:nsid w:val="5CFF6BF7"/>
    <w:multiLevelType w:val="multilevel"/>
    <w:tmpl w:val="5CFF6BF7"/>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0">
    <w:nsid w:val="5D997012"/>
    <w:multiLevelType w:val="multilevel"/>
    <w:tmpl w:val="5D997012"/>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1">
    <w:nsid w:val="5F22719E"/>
    <w:multiLevelType w:val="multilevel"/>
    <w:tmpl w:val="5F22719E"/>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2">
    <w:nsid w:val="60D046FC"/>
    <w:multiLevelType w:val="multilevel"/>
    <w:tmpl w:val="60D046FC"/>
    <w:lvl w:ilvl="0" w:tentative="0">
      <w:start w:val="1"/>
      <w:numFmt w:val="decimal"/>
      <w:lvlText w:val="%1、"/>
      <w:lvlJc w:val="left"/>
      <w:pPr>
        <w:ind w:left="1556" w:hanging="720"/>
      </w:pPr>
      <w:rPr>
        <w:rFonts w:hint="default"/>
      </w:rPr>
    </w:lvl>
    <w:lvl w:ilvl="1" w:tentative="0">
      <w:start w:val="1"/>
      <w:numFmt w:val="lowerLetter"/>
      <w:lvlText w:val="%2)"/>
      <w:lvlJc w:val="left"/>
      <w:pPr>
        <w:ind w:left="1676" w:hanging="420"/>
      </w:pPr>
    </w:lvl>
    <w:lvl w:ilvl="2" w:tentative="0">
      <w:start w:val="1"/>
      <w:numFmt w:val="lowerRoman"/>
      <w:lvlText w:val="%3."/>
      <w:lvlJc w:val="right"/>
      <w:pPr>
        <w:ind w:left="2096" w:hanging="420"/>
      </w:pPr>
    </w:lvl>
    <w:lvl w:ilvl="3" w:tentative="0">
      <w:start w:val="1"/>
      <w:numFmt w:val="decimal"/>
      <w:lvlText w:val="%4."/>
      <w:lvlJc w:val="left"/>
      <w:pPr>
        <w:ind w:left="2516" w:hanging="420"/>
      </w:pPr>
    </w:lvl>
    <w:lvl w:ilvl="4" w:tentative="0">
      <w:start w:val="1"/>
      <w:numFmt w:val="lowerLetter"/>
      <w:lvlText w:val="%5)"/>
      <w:lvlJc w:val="left"/>
      <w:pPr>
        <w:ind w:left="2936" w:hanging="420"/>
      </w:pPr>
    </w:lvl>
    <w:lvl w:ilvl="5" w:tentative="0">
      <w:start w:val="1"/>
      <w:numFmt w:val="lowerRoman"/>
      <w:lvlText w:val="%6."/>
      <w:lvlJc w:val="right"/>
      <w:pPr>
        <w:ind w:left="3356" w:hanging="420"/>
      </w:pPr>
    </w:lvl>
    <w:lvl w:ilvl="6" w:tentative="0">
      <w:start w:val="1"/>
      <w:numFmt w:val="decimal"/>
      <w:lvlText w:val="%7."/>
      <w:lvlJc w:val="left"/>
      <w:pPr>
        <w:ind w:left="3776" w:hanging="420"/>
      </w:pPr>
    </w:lvl>
    <w:lvl w:ilvl="7" w:tentative="0">
      <w:start w:val="1"/>
      <w:numFmt w:val="lowerLetter"/>
      <w:lvlText w:val="%8)"/>
      <w:lvlJc w:val="left"/>
      <w:pPr>
        <w:ind w:left="4196" w:hanging="420"/>
      </w:pPr>
    </w:lvl>
    <w:lvl w:ilvl="8" w:tentative="0">
      <w:start w:val="1"/>
      <w:numFmt w:val="lowerRoman"/>
      <w:lvlText w:val="%9."/>
      <w:lvlJc w:val="right"/>
      <w:pPr>
        <w:ind w:left="4616" w:hanging="420"/>
      </w:pPr>
    </w:lvl>
  </w:abstractNum>
  <w:abstractNum w:abstractNumId="53">
    <w:nsid w:val="61D455C1"/>
    <w:multiLevelType w:val="multilevel"/>
    <w:tmpl w:val="61D455C1"/>
    <w:lvl w:ilvl="0" w:tentative="0">
      <w:start w:val="1"/>
      <w:numFmt w:val="decimal"/>
      <w:lvlText w:val="(%1)"/>
      <w:lvlJc w:val="left"/>
      <w:pPr>
        <w:ind w:left="1820" w:hanging="975"/>
      </w:pPr>
      <w:rPr>
        <w:rFonts w:hint="default"/>
        <w:color w:val="000000"/>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54">
    <w:nsid w:val="63D77B7B"/>
    <w:multiLevelType w:val="multilevel"/>
    <w:tmpl w:val="63D77B7B"/>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5">
    <w:nsid w:val="66D24E52"/>
    <w:multiLevelType w:val="multilevel"/>
    <w:tmpl w:val="66D24E52"/>
    <w:lvl w:ilvl="0" w:tentative="0">
      <w:start w:val="1"/>
      <w:numFmt w:val="decimalEnclosedCircle"/>
      <w:lvlText w:val="%1"/>
      <w:lvlJc w:val="left"/>
      <w:rPr>
        <w:rFonts w:ascii="MingLiU" w:hAnsi="MingLiU" w:eastAsia="MingLiU" w:cs="MingLiU"/>
        <w:b w:val="0"/>
        <w:bCs w:val="0"/>
        <w:i w:val="0"/>
        <w:iCs w:val="0"/>
        <w:smallCaps w:val="0"/>
        <w:strike w:val="0"/>
        <w:color w:val="000000"/>
        <w:spacing w:val="0"/>
        <w:w w:val="100"/>
        <w:position w:val="0"/>
        <w:sz w:val="20"/>
        <w:szCs w:val="20"/>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691C290D"/>
    <w:multiLevelType w:val="multilevel"/>
    <w:tmpl w:val="691C290D"/>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7">
    <w:nsid w:val="6AAB67CF"/>
    <w:multiLevelType w:val="multilevel"/>
    <w:tmpl w:val="6AAB67CF"/>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8">
    <w:nsid w:val="6ADF48EA"/>
    <w:multiLevelType w:val="multilevel"/>
    <w:tmpl w:val="6ADF48EA"/>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9">
    <w:nsid w:val="6BA03AA4"/>
    <w:multiLevelType w:val="multilevel"/>
    <w:tmpl w:val="6BA03AA4"/>
    <w:lvl w:ilvl="0" w:tentative="0">
      <w:start w:val="1"/>
      <w:numFmt w:val="decimal"/>
      <w:lvlText w:val="(%1)"/>
      <w:lvlJc w:val="left"/>
      <w:pPr>
        <w:ind w:left="1801" w:hanging="10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60">
    <w:nsid w:val="6EEA4EF9"/>
    <w:multiLevelType w:val="multilevel"/>
    <w:tmpl w:val="6EEA4EF9"/>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1">
    <w:nsid w:val="6EFB5603"/>
    <w:multiLevelType w:val="multilevel"/>
    <w:tmpl w:val="6EFB5603"/>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2">
    <w:nsid w:val="6F9D2DCF"/>
    <w:multiLevelType w:val="multilevel"/>
    <w:tmpl w:val="6F9D2DCF"/>
    <w:lvl w:ilvl="0" w:tentative="0">
      <w:start w:val="1"/>
      <w:numFmt w:val="decimal"/>
      <w:lvlText w:val="(%1)"/>
      <w:lvlJc w:val="left"/>
      <w:pPr>
        <w:ind w:left="1816" w:hanging="1065"/>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63">
    <w:nsid w:val="78855B71"/>
    <w:multiLevelType w:val="multilevel"/>
    <w:tmpl w:val="78855B71"/>
    <w:lvl w:ilvl="0" w:tentative="0">
      <w:start w:val="1"/>
      <w:numFmt w:val="decimal"/>
      <w:lvlText w:val="(%1)"/>
      <w:lvlJc w:val="left"/>
      <w:pPr>
        <w:ind w:left="1201" w:hanging="4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64">
    <w:nsid w:val="79E81408"/>
    <w:multiLevelType w:val="multilevel"/>
    <w:tmpl w:val="79E81408"/>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5">
    <w:nsid w:val="7C4E12F7"/>
    <w:multiLevelType w:val="multilevel"/>
    <w:tmpl w:val="7C4E12F7"/>
    <w:lvl w:ilvl="0" w:tentative="0">
      <w:start w:val="1"/>
      <w:numFmt w:val="decimal"/>
      <w:lvlText w:val="(%1)"/>
      <w:lvlJc w:val="left"/>
      <w:pPr>
        <w:ind w:left="1816" w:hanging="1065"/>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66">
    <w:nsid w:val="7D520B84"/>
    <w:multiLevelType w:val="multilevel"/>
    <w:tmpl w:val="7D520B84"/>
    <w:lvl w:ilvl="0" w:tentative="0">
      <w:start w:val="6"/>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7">
    <w:nsid w:val="7E5B3A17"/>
    <w:multiLevelType w:val="multilevel"/>
    <w:tmpl w:val="7E5B3A17"/>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8">
    <w:nsid w:val="7FF53680"/>
    <w:multiLevelType w:val="multilevel"/>
    <w:tmpl w:val="7FF53680"/>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2"/>
  </w:num>
  <w:num w:numId="2">
    <w:abstractNumId w:val="4"/>
  </w:num>
  <w:num w:numId="3">
    <w:abstractNumId w:val="40"/>
  </w:num>
  <w:num w:numId="4">
    <w:abstractNumId w:val="9"/>
  </w:num>
  <w:num w:numId="5">
    <w:abstractNumId w:val="53"/>
  </w:num>
  <w:num w:numId="6">
    <w:abstractNumId w:val="3"/>
  </w:num>
  <w:num w:numId="7">
    <w:abstractNumId w:val="52"/>
  </w:num>
  <w:num w:numId="8">
    <w:abstractNumId w:val="38"/>
  </w:num>
  <w:num w:numId="9">
    <w:abstractNumId w:val="43"/>
  </w:num>
  <w:num w:numId="10">
    <w:abstractNumId w:val="67"/>
  </w:num>
  <w:num w:numId="11">
    <w:abstractNumId w:val="1"/>
  </w:num>
  <w:num w:numId="12">
    <w:abstractNumId w:val="29"/>
  </w:num>
  <w:num w:numId="13">
    <w:abstractNumId w:val="26"/>
  </w:num>
  <w:num w:numId="14">
    <w:abstractNumId w:val="5"/>
  </w:num>
  <w:num w:numId="15">
    <w:abstractNumId w:val="0"/>
  </w:num>
  <w:num w:numId="16">
    <w:abstractNumId w:val="64"/>
  </w:num>
  <w:num w:numId="17">
    <w:abstractNumId w:val="56"/>
  </w:num>
  <w:num w:numId="18">
    <w:abstractNumId w:val="27"/>
  </w:num>
  <w:num w:numId="19">
    <w:abstractNumId w:val="19"/>
  </w:num>
  <w:num w:numId="20">
    <w:abstractNumId w:val="24"/>
  </w:num>
  <w:num w:numId="21">
    <w:abstractNumId w:val="51"/>
  </w:num>
  <w:num w:numId="22">
    <w:abstractNumId w:val="60"/>
  </w:num>
  <w:num w:numId="23">
    <w:abstractNumId w:val="23"/>
  </w:num>
  <w:num w:numId="24">
    <w:abstractNumId w:val="6"/>
  </w:num>
  <w:num w:numId="25">
    <w:abstractNumId w:val="41"/>
  </w:num>
  <w:num w:numId="26">
    <w:abstractNumId w:val="8"/>
  </w:num>
  <w:num w:numId="27">
    <w:abstractNumId w:val="61"/>
  </w:num>
  <w:num w:numId="28">
    <w:abstractNumId w:val="45"/>
  </w:num>
  <w:num w:numId="29">
    <w:abstractNumId w:val="50"/>
  </w:num>
  <w:num w:numId="30">
    <w:abstractNumId w:val="30"/>
  </w:num>
  <w:num w:numId="31">
    <w:abstractNumId w:val="44"/>
  </w:num>
  <w:num w:numId="32">
    <w:abstractNumId w:val="18"/>
  </w:num>
  <w:num w:numId="33">
    <w:abstractNumId w:val="14"/>
  </w:num>
  <w:num w:numId="34">
    <w:abstractNumId w:val="49"/>
  </w:num>
  <w:num w:numId="35">
    <w:abstractNumId w:val="31"/>
  </w:num>
  <w:num w:numId="36">
    <w:abstractNumId w:val="39"/>
  </w:num>
  <w:num w:numId="37">
    <w:abstractNumId w:val="68"/>
  </w:num>
  <w:num w:numId="38">
    <w:abstractNumId w:val="35"/>
  </w:num>
  <w:num w:numId="39">
    <w:abstractNumId w:val="25"/>
  </w:num>
  <w:num w:numId="40">
    <w:abstractNumId w:val="16"/>
  </w:num>
  <w:num w:numId="41">
    <w:abstractNumId w:val="42"/>
  </w:num>
  <w:num w:numId="42">
    <w:abstractNumId w:val="55"/>
  </w:num>
  <w:num w:numId="43">
    <w:abstractNumId w:val="21"/>
  </w:num>
  <w:num w:numId="44">
    <w:abstractNumId w:val="15"/>
  </w:num>
  <w:num w:numId="45">
    <w:abstractNumId w:val="36"/>
  </w:num>
  <w:num w:numId="46">
    <w:abstractNumId w:val="13"/>
  </w:num>
  <w:num w:numId="47">
    <w:abstractNumId w:val="10"/>
  </w:num>
  <w:num w:numId="48">
    <w:abstractNumId w:val="58"/>
  </w:num>
  <w:num w:numId="49">
    <w:abstractNumId w:val="47"/>
  </w:num>
  <w:num w:numId="50">
    <w:abstractNumId w:val="20"/>
  </w:num>
  <w:num w:numId="51">
    <w:abstractNumId w:val="66"/>
  </w:num>
  <w:num w:numId="52">
    <w:abstractNumId w:val="33"/>
  </w:num>
  <w:num w:numId="53">
    <w:abstractNumId w:val="2"/>
  </w:num>
  <w:num w:numId="54">
    <w:abstractNumId w:val="65"/>
  </w:num>
  <w:num w:numId="55">
    <w:abstractNumId w:val="46"/>
  </w:num>
  <w:num w:numId="56">
    <w:abstractNumId w:val="32"/>
  </w:num>
  <w:num w:numId="57">
    <w:abstractNumId w:val="54"/>
  </w:num>
  <w:num w:numId="58">
    <w:abstractNumId w:val="34"/>
  </w:num>
  <w:num w:numId="59">
    <w:abstractNumId w:val="62"/>
  </w:num>
  <w:num w:numId="60">
    <w:abstractNumId w:val="7"/>
  </w:num>
  <w:num w:numId="61">
    <w:abstractNumId w:val="63"/>
  </w:num>
  <w:num w:numId="62">
    <w:abstractNumId w:val="48"/>
  </w:num>
  <w:num w:numId="63">
    <w:abstractNumId w:val="11"/>
  </w:num>
  <w:num w:numId="64">
    <w:abstractNumId w:val="17"/>
  </w:num>
  <w:num w:numId="65">
    <w:abstractNumId w:val="28"/>
  </w:num>
  <w:num w:numId="66">
    <w:abstractNumId w:val="12"/>
  </w:num>
  <w:num w:numId="67">
    <w:abstractNumId w:val="57"/>
  </w:num>
  <w:num w:numId="68">
    <w:abstractNumId w:val="37"/>
  </w:num>
  <w:num w:numId="6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A9E"/>
    <w:rsid w:val="00005324"/>
    <w:rsid w:val="00011820"/>
    <w:rsid w:val="00017561"/>
    <w:rsid w:val="00040750"/>
    <w:rsid w:val="00060610"/>
    <w:rsid w:val="00067FA1"/>
    <w:rsid w:val="00082819"/>
    <w:rsid w:val="00084AA8"/>
    <w:rsid w:val="00093545"/>
    <w:rsid w:val="000B25B1"/>
    <w:rsid w:val="000B5E25"/>
    <w:rsid w:val="000D1958"/>
    <w:rsid w:val="000F5533"/>
    <w:rsid w:val="00102874"/>
    <w:rsid w:val="00104DF9"/>
    <w:rsid w:val="001142C1"/>
    <w:rsid w:val="00120FB8"/>
    <w:rsid w:val="00121178"/>
    <w:rsid w:val="00124032"/>
    <w:rsid w:val="00127947"/>
    <w:rsid w:val="00136FD8"/>
    <w:rsid w:val="00174473"/>
    <w:rsid w:val="001862C6"/>
    <w:rsid w:val="00193C6B"/>
    <w:rsid w:val="00195716"/>
    <w:rsid w:val="00197E31"/>
    <w:rsid w:val="001A4D16"/>
    <w:rsid w:val="001A500D"/>
    <w:rsid w:val="001C5BFB"/>
    <w:rsid w:val="001C6819"/>
    <w:rsid w:val="001C76E4"/>
    <w:rsid w:val="001D10B7"/>
    <w:rsid w:val="001E4AF3"/>
    <w:rsid w:val="001E74B9"/>
    <w:rsid w:val="001F10E3"/>
    <w:rsid w:val="001F36C8"/>
    <w:rsid w:val="002106C8"/>
    <w:rsid w:val="00211658"/>
    <w:rsid w:val="00220C25"/>
    <w:rsid w:val="00221F73"/>
    <w:rsid w:val="002334D4"/>
    <w:rsid w:val="00235FA9"/>
    <w:rsid w:val="0023725B"/>
    <w:rsid w:val="0024010A"/>
    <w:rsid w:val="00243F18"/>
    <w:rsid w:val="00265CDA"/>
    <w:rsid w:val="002B2E46"/>
    <w:rsid w:val="002C05AB"/>
    <w:rsid w:val="002D0347"/>
    <w:rsid w:val="002D4E30"/>
    <w:rsid w:val="002D6CA3"/>
    <w:rsid w:val="002E5972"/>
    <w:rsid w:val="00304FFD"/>
    <w:rsid w:val="00315A1B"/>
    <w:rsid w:val="003252E6"/>
    <w:rsid w:val="0034666E"/>
    <w:rsid w:val="0035373A"/>
    <w:rsid w:val="00363119"/>
    <w:rsid w:val="00366C76"/>
    <w:rsid w:val="00384782"/>
    <w:rsid w:val="003926C1"/>
    <w:rsid w:val="00392CA9"/>
    <w:rsid w:val="003948C0"/>
    <w:rsid w:val="003A2078"/>
    <w:rsid w:val="003A56CE"/>
    <w:rsid w:val="003B11AD"/>
    <w:rsid w:val="003B1C5E"/>
    <w:rsid w:val="003B78FA"/>
    <w:rsid w:val="003B7DDE"/>
    <w:rsid w:val="003C5367"/>
    <w:rsid w:val="00405718"/>
    <w:rsid w:val="0040678F"/>
    <w:rsid w:val="00407657"/>
    <w:rsid w:val="00420A2E"/>
    <w:rsid w:val="00423B4F"/>
    <w:rsid w:val="00463905"/>
    <w:rsid w:val="004744D4"/>
    <w:rsid w:val="0047625B"/>
    <w:rsid w:val="00477CF5"/>
    <w:rsid w:val="004856EE"/>
    <w:rsid w:val="004A517E"/>
    <w:rsid w:val="004B2586"/>
    <w:rsid w:val="004B2E10"/>
    <w:rsid w:val="004B7A68"/>
    <w:rsid w:val="004C70C4"/>
    <w:rsid w:val="004D1F43"/>
    <w:rsid w:val="004E4551"/>
    <w:rsid w:val="004E5BE1"/>
    <w:rsid w:val="004E68B7"/>
    <w:rsid w:val="004E7BE1"/>
    <w:rsid w:val="004F47E4"/>
    <w:rsid w:val="004F5751"/>
    <w:rsid w:val="00511540"/>
    <w:rsid w:val="005263DF"/>
    <w:rsid w:val="00535958"/>
    <w:rsid w:val="005451B0"/>
    <w:rsid w:val="005629E2"/>
    <w:rsid w:val="005663F1"/>
    <w:rsid w:val="0056674F"/>
    <w:rsid w:val="00574950"/>
    <w:rsid w:val="005A0579"/>
    <w:rsid w:val="005A717F"/>
    <w:rsid w:val="005F3858"/>
    <w:rsid w:val="00601057"/>
    <w:rsid w:val="006059EA"/>
    <w:rsid w:val="00630B3D"/>
    <w:rsid w:val="0063609E"/>
    <w:rsid w:val="006430C4"/>
    <w:rsid w:val="0066116E"/>
    <w:rsid w:val="00662D10"/>
    <w:rsid w:val="00662DBF"/>
    <w:rsid w:val="006A3B6F"/>
    <w:rsid w:val="006A3FCC"/>
    <w:rsid w:val="006A7551"/>
    <w:rsid w:val="006C3CBB"/>
    <w:rsid w:val="006D6CE3"/>
    <w:rsid w:val="006E3787"/>
    <w:rsid w:val="006F5222"/>
    <w:rsid w:val="00703C51"/>
    <w:rsid w:val="00707EF2"/>
    <w:rsid w:val="00721B4C"/>
    <w:rsid w:val="00722B08"/>
    <w:rsid w:val="0072780E"/>
    <w:rsid w:val="00743BF9"/>
    <w:rsid w:val="007446E5"/>
    <w:rsid w:val="00754595"/>
    <w:rsid w:val="00771060"/>
    <w:rsid w:val="00780BA1"/>
    <w:rsid w:val="007819F5"/>
    <w:rsid w:val="00783731"/>
    <w:rsid w:val="00787CCF"/>
    <w:rsid w:val="007909F2"/>
    <w:rsid w:val="00792410"/>
    <w:rsid w:val="007B6307"/>
    <w:rsid w:val="007B6AE4"/>
    <w:rsid w:val="007B7CEC"/>
    <w:rsid w:val="007D2F41"/>
    <w:rsid w:val="007D2F86"/>
    <w:rsid w:val="007F0D7A"/>
    <w:rsid w:val="0080494D"/>
    <w:rsid w:val="00823E51"/>
    <w:rsid w:val="00832078"/>
    <w:rsid w:val="00833AE0"/>
    <w:rsid w:val="008414C0"/>
    <w:rsid w:val="00844A38"/>
    <w:rsid w:val="008462F6"/>
    <w:rsid w:val="00850F18"/>
    <w:rsid w:val="00851348"/>
    <w:rsid w:val="00853D7F"/>
    <w:rsid w:val="00854611"/>
    <w:rsid w:val="00855675"/>
    <w:rsid w:val="00857E55"/>
    <w:rsid w:val="00871E3B"/>
    <w:rsid w:val="00881C62"/>
    <w:rsid w:val="00887376"/>
    <w:rsid w:val="00894729"/>
    <w:rsid w:val="008B2636"/>
    <w:rsid w:val="008B3CCB"/>
    <w:rsid w:val="008C1F84"/>
    <w:rsid w:val="008C628D"/>
    <w:rsid w:val="008D1C4C"/>
    <w:rsid w:val="008D7CEE"/>
    <w:rsid w:val="00901244"/>
    <w:rsid w:val="009174F3"/>
    <w:rsid w:val="0092433D"/>
    <w:rsid w:val="00935AB2"/>
    <w:rsid w:val="00967E11"/>
    <w:rsid w:val="00967FA2"/>
    <w:rsid w:val="00973F5B"/>
    <w:rsid w:val="00976E10"/>
    <w:rsid w:val="00997E9D"/>
    <w:rsid w:val="009A2C47"/>
    <w:rsid w:val="009B46E0"/>
    <w:rsid w:val="009B54BB"/>
    <w:rsid w:val="009B5922"/>
    <w:rsid w:val="009C09F9"/>
    <w:rsid w:val="009C0CF5"/>
    <w:rsid w:val="009C431A"/>
    <w:rsid w:val="009C7304"/>
    <w:rsid w:val="009D11BA"/>
    <w:rsid w:val="009D7C65"/>
    <w:rsid w:val="009E1F2D"/>
    <w:rsid w:val="009F0E3F"/>
    <w:rsid w:val="00A13A08"/>
    <w:rsid w:val="00A1552A"/>
    <w:rsid w:val="00A24699"/>
    <w:rsid w:val="00A24B62"/>
    <w:rsid w:val="00A3736C"/>
    <w:rsid w:val="00A61C79"/>
    <w:rsid w:val="00A650B0"/>
    <w:rsid w:val="00A650CB"/>
    <w:rsid w:val="00A66366"/>
    <w:rsid w:val="00A67A9E"/>
    <w:rsid w:val="00A8024D"/>
    <w:rsid w:val="00A815C4"/>
    <w:rsid w:val="00A93A10"/>
    <w:rsid w:val="00AA567E"/>
    <w:rsid w:val="00AA75C7"/>
    <w:rsid w:val="00AB19A9"/>
    <w:rsid w:val="00AB37D1"/>
    <w:rsid w:val="00AC4F42"/>
    <w:rsid w:val="00AD590D"/>
    <w:rsid w:val="00AE09BC"/>
    <w:rsid w:val="00B01FA4"/>
    <w:rsid w:val="00B0371B"/>
    <w:rsid w:val="00B303B4"/>
    <w:rsid w:val="00B41686"/>
    <w:rsid w:val="00B50D77"/>
    <w:rsid w:val="00B50E2E"/>
    <w:rsid w:val="00B67E3F"/>
    <w:rsid w:val="00B7196E"/>
    <w:rsid w:val="00B84390"/>
    <w:rsid w:val="00B86C09"/>
    <w:rsid w:val="00B92832"/>
    <w:rsid w:val="00BA20ED"/>
    <w:rsid w:val="00BA3497"/>
    <w:rsid w:val="00BB56B8"/>
    <w:rsid w:val="00BD1476"/>
    <w:rsid w:val="00BE35FE"/>
    <w:rsid w:val="00BE53D0"/>
    <w:rsid w:val="00BE7911"/>
    <w:rsid w:val="00BF36D5"/>
    <w:rsid w:val="00BF6579"/>
    <w:rsid w:val="00C011DD"/>
    <w:rsid w:val="00C028DC"/>
    <w:rsid w:val="00C042EE"/>
    <w:rsid w:val="00C14E1F"/>
    <w:rsid w:val="00C16F82"/>
    <w:rsid w:val="00C36623"/>
    <w:rsid w:val="00C41DC2"/>
    <w:rsid w:val="00C434EF"/>
    <w:rsid w:val="00C50983"/>
    <w:rsid w:val="00C54D54"/>
    <w:rsid w:val="00C73366"/>
    <w:rsid w:val="00C73B6A"/>
    <w:rsid w:val="00C75A54"/>
    <w:rsid w:val="00C769BC"/>
    <w:rsid w:val="00C83E6E"/>
    <w:rsid w:val="00C85E73"/>
    <w:rsid w:val="00C8615A"/>
    <w:rsid w:val="00CB6BF2"/>
    <w:rsid w:val="00CC7F38"/>
    <w:rsid w:val="00CD7CC3"/>
    <w:rsid w:val="00CE4B2C"/>
    <w:rsid w:val="00CE71F9"/>
    <w:rsid w:val="00D06AAB"/>
    <w:rsid w:val="00D462EF"/>
    <w:rsid w:val="00D505BB"/>
    <w:rsid w:val="00D54442"/>
    <w:rsid w:val="00D56FAC"/>
    <w:rsid w:val="00D576DA"/>
    <w:rsid w:val="00D60F36"/>
    <w:rsid w:val="00D64C0E"/>
    <w:rsid w:val="00D659C8"/>
    <w:rsid w:val="00D6688E"/>
    <w:rsid w:val="00D67E0D"/>
    <w:rsid w:val="00D70C06"/>
    <w:rsid w:val="00D76847"/>
    <w:rsid w:val="00D90374"/>
    <w:rsid w:val="00D95308"/>
    <w:rsid w:val="00D971E1"/>
    <w:rsid w:val="00DA3160"/>
    <w:rsid w:val="00DA38C3"/>
    <w:rsid w:val="00DA769E"/>
    <w:rsid w:val="00DA7CC1"/>
    <w:rsid w:val="00DB4F08"/>
    <w:rsid w:val="00DC3EC7"/>
    <w:rsid w:val="00DD0FFD"/>
    <w:rsid w:val="00DD5193"/>
    <w:rsid w:val="00DD5C26"/>
    <w:rsid w:val="00DD609D"/>
    <w:rsid w:val="00DD7AC0"/>
    <w:rsid w:val="00DE5FEB"/>
    <w:rsid w:val="00DE7712"/>
    <w:rsid w:val="00DF2662"/>
    <w:rsid w:val="00E01634"/>
    <w:rsid w:val="00E11B15"/>
    <w:rsid w:val="00E14213"/>
    <w:rsid w:val="00E231F4"/>
    <w:rsid w:val="00E31983"/>
    <w:rsid w:val="00E3775B"/>
    <w:rsid w:val="00E40F78"/>
    <w:rsid w:val="00E44660"/>
    <w:rsid w:val="00E564CF"/>
    <w:rsid w:val="00E6150B"/>
    <w:rsid w:val="00E83286"/>
    <w:rsid w:val="00E93ECF"/>
    <w:rsid w:val="00E942FE"/>
    <w:rsid w:val="00EA2B8E"/>
    <w:rsid w:val="00EA3F9B"/>
    <w:rsid w:val="00EB0319"/>
    <w:rsid w:val="00EC2EE0"/>
    <w:rsid w:val="00ED6204"/>
    <w:rsid w:val="00EF32EA"/>
    <w:rsid w:val="00EF42BF"/>
    <w:rsid w:val="00EF4481"/>
    <w:rsid w:val="00F00793"/>
    <w:rsid w:val="00F01EA1"/>
    <w:rsid w:val="00F122F4"/>
    <w:rsid w:val="00F21A12"/>
    <w:rsid w:val="00F21AC8"/>
    <w:rsid w:val="00F324C5"/>
    <w:rsid w:val="00F44972"/>
    <w:rsid w:val="00F5281E"/>
    <w:rsid w:val="00F72E5D"/>
    <w:rsid w:val="00F97CDB"/>
    <w:rsid w:val="00FB4D81"/>
    <w:rsid w:val="00FC4DF7"/>
    <w:rsid w:val="00FD68BD"/>
    <w:rsid w:val="00FD7E81"/>
    <w:rsid w:val="00FE22FC"/>
    <w:rsid w:val="00FE528A"/>
    <w:rsid w:val="00FF2F96"/>
    <w:rsid w:val="65EB5B8F"/>
    <w:rsid w:val="7F9F2148"/>
    <w:rsid w:val="BEFEC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30"/>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3 Char"/>
    <w:basedOn w:val="8"/>
    <w:link w:val="3"/>
    <w:qFormat/>
    <w:uiPriority w:val="9"/>
    <w:rPr>
      <w:rFonts w:ascii="宋体" w:hAnsi="宋体" w:eastAsia="宋体" w:cs="宋体"/>
      <w:b/>
      <w:bCs/>
      <w:kern w:val="0"/>
      <w:sz w:val="27"/>
      <w:szCs w:val="27"/>
    </w:rPr>
  </w:style>
  <w:style w:type="character" w:customStyle="1" w:styleId="16">
    <w:name w:val="标题 1 Char"/>
    <w:basedOn w:val="8"/>
    <w:link w:val="2"/>
    <w:qFormat/>
    <w:uiPriority w:val="9"/>
    <w:rPr>
      <w:b/>
      <w:bCs/>
      <w:kern w:val="44"/>
      <w:sz w:val="44"/>
      <w:szCs w:val="44"/>
    </w:rPr>
  </w:style>
  <w:style w:type="paragraph" w:customStyle="1" w:styleId="17">
    <w:name w:val="文本正文"/>
    <w:basedOn w:val="1"/>
    <w:qFormat/>
    <w:uiPriority w:val="0"/>
    <w:pPr>
      <w:spacing w:after="80" w:line="360" w:lineRule="auto"/>
      <w:ind w:firstLine="803" w:firstLineChars="200"/>
    </w:pPr>
    <w:rPr>
      <w:rFonts w:ascii="Times New Roman" w:hAnsi="Times New Roman" w:eastAsia="仿宋"/>
      <w:sz w:val="28"/>
      <w:szCs w:val="24"/>
    </w:rPr>
  </w:style>
  <w:style w:type="paragraph" w:customStyle="1" w:styleId="18">
    <w:name w:val="表格"/>
    <w:basedOn w:val="1"/>
    <w:qFormat/>
    <w:uiPriority w:val="0"/>
    <w:pPr>
      <w:spacing w:after="80"/>
      <w:jc w:val="center"/>
    </w:pPr>
    <w:rPr>
      <w:rFonts w:eastAsia="楷体"/>
      <w:szCs w:val="24"/>
    </w:rPr>
  </w:style>
  <w:style w:type="character" w:customStyle="1" w:styleId="19">
    <w:name w:val="正文文本 (2)_"/>
    <w:basedOn w:val="8"/>
    <w:link w:val="20"/>
    <w:qFormat/>
    <w:uiPriority w:val="0"/>
    <w:rPr>
      <w:rFonts w:ascii="MingLiU" w:hAnsi="MingLiU" w:eastAsia="MingLiU" w:cs="MingLiU"/>
      <w:sz w:val="20"/>
      <w:szCs w:val="20"/>
      <w:shd w:val="clear" w:color="auto" w:fill="FFFFFF"/>
    </w:rPr>
  </w:style>
  <w:style w:type="paragraph" w:customStyle="1" w:styleId="20">
    <w:name w:val="正文文本 (2)"/>
    <w:basedOn w:val="1"/>
    <w:link w:val="19"/>
    <w:qFormat/>
    <w:uiPriority w:val="0"/>
    <w:pPr>
      <w:shd w:val="clear" w:color="auto" w:fill="FFFFFF"/>
      <w:spacing w:line="326" w:lineRule="exact"/>
      <w:ind w:hanging="420"/>
      <w:jc w:val="distribute"/>
    </w:pPr>
    <w:rPr>
      <w:rFonts w:ascii="MingLiU" w:hAnsi="MingLiU" w:eastAsia="MingLiU" w:cs="MingLiU"/>
      <w:sz w:val="20"/>
      <w:szCs w:val="20"/>
    </w:rPr>
  </w:style>
  <w:style w:type="character" w:customStyle="1" w:styleId="21">
    <w:name w:val="正文文本 (2) + 8 pt"/>
    <w:basedOn w:val="19"/>
    <w:qFormat/>
    <w:uiPriority w:val="0"/>
    <w:rPr>
      <w:color w:val="000000"/>
      <w:spacing w:val="0"/>
      <w:w w:val="100"/>
      <w:position w:val="0"/>
      <w:sz w:val="16"/>
      <w:szCs w:val="16"/>
      <w:lang w:val="zh-TW" w:eastAsia="zh-TW" w:bidi="zh-TW"/>
    </w:rPr>
  </w:style>
  <w:style w:type="character" w:customStyle="1" w:styleId="22">
    <w:name w:val="正文文本 (2) + Times New Roman"/>
    <w:basedOn w:val="19"/>
    <w:qFormat/>
    <w:uiPriority w:val="0"/>
    <w:rPr>
      <w:rFonts w:ascii="Times New Roman" w:hAnsi="Times New Roman" w:eastAsia="Times New Roman" w:cs="Times New Roman"/>
      <w:color w:val="000000"/>
      <w:spacing w:val="0"/>
      <w:w w:val="100"/>
      <w:position w:val="0"/>
      <w:sz w:val="13"/>
      <w:szCs w:val="13"/>
      <w:lang w:val="en-US" w:eastAsia="en-US" w:bidi="en-US"/>
    </w:rPr>
  </w:style>
  <w:style w:type="character" w:customStyle="1" w:styleId="23">
    <w:name w:val="正文文本 (6)_"/>
    <w:basedOn w:val="8"/>
    <w:link w:val="24"/>
    <w:qFormat/>
    <w:uiPriority w:val="0"/>
    <w:rPr>
      <w:rFonts w:ascii="MingLiU" w:hAnsi="MingLiU" w:eastAsia="MingLiU" w:cs="MingLiU"/>
      <w:sz w:val="16"/>
      <w:szCs w:val="16"/>
      <w:shd w:val="clear" w:color="auto" w:fill="FFFFFF"/>
    </w:rPr>
  </w:style>
  <w:style w:type="paragraph" w:customStyle="1" w:styleId="24">
    <w:name w:val="正文文本 (6)"/>
    <w:basedOn w:val="1"/>
    <w:link w:val="23"/>
    <w:qFormat/>
    <w:uiPriority w:val="0"/>
    <w:pPr>
      <w:shd w:val="clear" w:color="auto" w:fill="FFFFFF"/>
      <w:spacing w:line="283" w:lineRule="exact"/>
      <w:ind w:hanging="540"/>
      <w:jc w:val="left"/>
    </w:pPr>
    <w:rPr>
      <w:rFonts w:ascii="MingLiU" w:hAnsi="MingLiU" w:eastAsia="MingLiU" w:cs="MingLiU"/>
      <w:sz w:val="16"/>
      <w:szCs w:val="16"/>
    </w:rPr>
  </w:style>
  <w:style w:type="character" w:customStyle="1" w:styleId="25">
    <w:name w:val="表格标题 (2)_"/>
    <w:basedOn w:val="8"/>
    <w:link w:val="26"/>
    <w:qFormat/>
    <w:uiPriority w:val="0"/>
    <w:rPr>
      <w:rFonts w:ascii="MingLiU" w:hAnsi="MingLiU" w:eastAsia="MingLiU" w:cs="MingLiU"/>
      <w:sz w:val="17"/>
      <w:szCs w:val="17"/>
      <w:shd w:val="clear" w:color="auto" w:fill="FFFFFF"/>
    </w:rPr>
  </w:style>
  <w:style w:type="paragraph" w:customStyle="1" w:styleId="26">
    <w:name w:val="表格标题 (2)"/>
    <w:basedOn w:val="1"/>
    <w:link w:val="25"/>
    <w:qFormat/>
    <w:uiPriority w:val="0"/>
    <w:pPr>
      <w:shd w:val="clear" w:color="auto" w:fill="FFFFFF"/>
      <w:spacing w:line="0" w:lineRule="atLeast"/>
      <w:jc w:val="left"/>
    </w:pPr>
    <w:rPr>
      <w:rFonts w:ascii="MingLiU" w:hAnsi="MingLiU" w:eastAsia="MingLiU" w:cs="MingLiU"/>
      <w:sz w:val="17"/>
      <w:szCs w:val="17"/>
    </w:rPr>
  </w:style>
  <w:style w:type="character" w:customStyle="1" w:styleId="27">
    <w:name w:val="表格标题_"/>
    <w:basedOn w:val="8"/>
    <w:link w:val="28"/>
    <w:qFormat/>
    <w:uiPriority w:val="0"/>
    <w:rPr>
      <w:rFonts w:ascii="MingLiU" w:hAnsi="MingLiU" w:eastAsia="MingLiU" w:cs="MingLiU"/>
      <w:sz w:val="16"/>
      <w:szCs w:val="16"/>
      <w:shd w:val="clear" w:color="auto" w:fill="FFFFFF"/>
    </w:rPr>
  </w:style>
  <w:style w:type="paragraph" w:customStyle="1" w:styleId="28">
    <w:name w:val="表格标题"/>
    <w:basedOn w:val="1"/>
    <w:link w:val="27"/>
    <w:qFormat/>
    <w:uiPriority w:val="0"/>
    <w:pPr>
      <w:shd w:val="clear" w:color="auto" w:fill="FFFFFF"/>
      <w:spacing w:line="274" w:lineRule="exact"/>
      <w:ind w:hanging="460"/>
      <w:jc w:val="left"/>
    </w:pPr>
    <w:rPr>
      <w:rFonts w:ascii="MingLiU" w:hAnsi="MingLiU" w:eastAsia="MingLiU" w:cs="MingLiU"/>
      <w:sz w:val="16"/>
      <w:szCs w:val="16"/>
    </w:rPr>
  </w:style>
  <w:style w:type="character" w:customStyle="1" w:styleId="29">
    <w:name w:val="正文文本 (2) + 间距 -2 pt"/>
    <w:basedOn w:val="19"/>
    <w:qFormat/>
    <w:uiPriority w:val="0"/>
    <w:rPr>
      <w:color w:val="000000"/>
      <w:spacing w:val="-40"/>
      <w:w w:val="100"/>
      <w:position w:val="0"/>
      <w:u w:val="none"/>
      <w:lang w:val="zh-TW" w:eastAsia="zh-TW" w:bidi="zh-TW"/>
    </w:rPr>
  </w:style>
  <w:style w:type="character" w:customStyle="1" w:styleId="30">
    <w:name w:val="批注框文本 Char"/>
    <w:basedOn w:val="8"/>
    <w:link w:val="4"/>
    <w:semiHidden/>
    <w:qFormat/>
    <w:uiPriority w:val="99"/>
    <w:rPr>
      <w:sz w:val="18"/>
      <w:szCs w:val="18"/>
    </w:rPr>
  </w:style>
  <w:style w:type="character" w:customStyle="1" w:styleId="31">
    <w:name w:val="页眉或页脚_"/>
    <w:basedOn w:val="8"/>
    <w:link w:val="32"/>
    <w:qFormat/>
    <w:uiPriority w:val="0"/>
    <w:rPr>
      <w:rFonts w:ascii="Times New Roman" w:hAnsi="Times New Roman" w:eastAsia="Times New Roman" w:cs="Times New Roman"/>
      <w:spacing w:val="20"/>
      <w:sz w:val="18"/>
      <w:szCs w:val="18"/>
      <w:shd w:val="clear" w:color="auto" w:fill="FFFFFF"/>
      <w:lang w:eastAsia="en-US" w:bidi="en-US"/>
    </w:rPr>
  </w:style>
  <w:style w:type="paragraph" w:customStyle="1" w:styleId="32">
    <w:name w:val="页眉或页脚"/>
    <w:basedOn w:val="1"/>
    <w:link w:val="31"/>
    <w:qFormat/>
    <w:uiPriority w:val="0"/>
    <w:pPr>
      <w:shd w:val="clear" w:color="auto" w:fill="FFFFFF"/>
      <w:spacing w:line="0" w:lineRule="atLeast"/>
      <w:jc w:val="left"/>
    </w:pPr>
    <w:rPr>
      <w:rFonts w:ascii="Times New Roman" w:hAnsi="Times New Roman" w:eastAsia="Times New Roman" w:cs="Times New Roman"/>
      <w:spacing w:val="20"/>
      <w:sz w:val="18"/>
      <w:szCs w:val="18"/>
      <w:lang w:eastAsia="en-US" w:bidi="en-US"/>
    </w:rPr>
  </w:style>
  <w:style w:type="character" w:customStyle="1" w:styleId="33">
    <w:name w:val="表格标题 + 8.5 pt"/>
    <w:basedOn w:val="27"/>
    <w:qFormat/>
    <w:uiPriority w:val="0"/>
    <w:rPr>
      <w:color w:val="000000"/>
      <w:spacing w:val="0"/>
      <w:w w:val="100"/>
      <w:position w:val="0"/>
      <w:sz w:val="17"/>
      <w:szCs w:val="17"/>
      <w:u w:val="none"/>
      <w:lang w:val="zh-TW" w:eastAsia="zh-TW" w:bidi="zh-TW"/>
    </w:rPr>
  </w:style>
  <w:style w:type="character" w:customStyle="1" w:styleId="34">
    <w:name w:val="正文文本 (2) + Tahoma"/>
    <w:basedOn w:val="19"/>
    <w:qFormat/>
    <w:uiPriority w:val="0"/>
    <w:rPr>
      <w:rFonts w:ascii="Tahoma" w:hAnsi="Tahoma" w:eastAsia="Tahoma" w:cs="Tahoma"/>
      <w:i/>
      <w:iCs/>
      <w:color w:val="000000"/>
      <w:spacing w:val="0"/>
      <w:w w:val="100"/>
      <w:position w:val="0"/>
      <w:sz w:val="14"/>
      <w:szCs w:val="14"/>
      <w:u w:val="non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3724</Words>
  <Characters>21232</Characters>
  <Lines>176</Lines>
  <Paragraphs>49</Paragraphs>
  <TotalTime>8</TotalTime>
  <ScaleCrop>false</ScaleCrop>
  <LinksUpToDate>false</LinksUpToDate>
  <CharactersWithSpaces>24907</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2018-12-15T08:27:00Z</dcterms:created>
  <dc:creator>shdrc-</dc:creator>
  <cp:lastModifiedBy>刘振涛</cp:lastModifiedBy>
  <cp:lastPrinted>2018-12-21T01:54:00Z</cp:lastPrinted>
  <dcterms:modified xsi:type="dcterms:W3CDTF">2021-06-17T10:18:15Z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