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eastAsia" w:ascii="华文中宋" w:hAnsi="华文中宋" w:eastAsia="华文中宋" w:cs="Times New Roman"/>
          <w:b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pacing w:val="-6"/>
          <w:kern w:val="2"/>
          <w:sz w:val="32"/>
          <w:szCs w:val="32"/>
          <w:lang w:val="en-US" w:eastAsia="zh-CN" w:bidi="ar"/>
        </w:rPr>
        <w:t>上海市能效</w:t>
      </w:r>
      <w:r>
        <w:rPr>
          <w:rFonts w:hint="eastAsia" w:ascii="华文中宋" w:hAnsi="华文中宋" w:eastAsia="华文中宋" w:cs="Times New Roman"/>
          <w:b/>
          <w:spacing w:val="-6"/>
          <w:kern w:val="2"/>
          <w:sz w:val="32"/>
          <w:szCs w:val="32"/>
          <w:lang w:val="en-US" w:eastAsia="zh-CN" w:bidi="ar"/>
        </w:rPr>
        <w:t>“领跑者”（第</w:t>
      </w:r>
      <w:r>
        <w:rPr>
          <w:rFonts w:hint="eastAsia" w:ascii="华文中宋" w:hAnsi="华文中宋" w:eastAsia="华文中宋" w:cs="华文中宋"/>
          <w:b/>
          <w:spacing w:val="-6"/>
          <w:kern w:val="2"/>
          <w:sz w:val="32"/>
          <w:szCs w:val="32"/>
          <w:lang w:val="en-US" w:eastAsia="zh-CN" w:bidi="ar"/>
        </w:rPr>
        <w:t>四批）名单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Times New Roman" w:hAnsi="Times New Roman" w:eastAsia="黑体" w:cs="Times New Roman"/>
          <w:b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>一、金牌能效</w:t>
      </w:r>
      <w:r>
        <w:rPr>
          <w:rFonts w:hint="default" w:ascii="Times New Roman" w:hAnsi="Times New Roman" w:eastAsia="黑体" w:cs="Times New Roman"/>
          <w:b/>
          <w:spacing w:val="-6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>领跑者</w:t>
      </w:r>
      <w:r>
        <w:rPr>
          <w:rFonts w:hint="default" w:ascii="Times New Roman" w:hAnsi="Times New Roman" w:eastAsia="黑体" w:cs="Times New Roman"/>
          <w:b/>
          <w:spacing w:val="-6"/>
          <w:kern w:val="2"/>
          <w:sz w:val="32"/>
          <w:szCs w:val="32"/>
          <w:lang w:val="en-US" w:eastAsia="zh-CN" w:bidi="ar"/>
        </w:rPr>
        <w:t>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上海金山万达商业管理有限公司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上海家门口房地产开发有限公司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上海嘉定万达商业管理有限公司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上海崇明巴士公共交通有限公司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上海米其林轮胎有限公司（复评）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上海浦东华油实业有限责任公司中油阳光大酒店（复评）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上海西郊宾馆（复评）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/>
        <w:jc w:val="both"/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eastAsia" w:eastAsia="宋体" w:cs="Times New Roman"/>
          <w:spacing w:val="-6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上海上影影视文化交流有限公司（上海银星皇冠假日酒店）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cs="仿宋_GB2312"/>
          <w:spacing w:val="-6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宋体" w:cs="Times New Roman"/>
          <w:spacing w:val="-6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上海红塔大酒店有限公司（复评）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宋体" w:cs="Times New Roman"/>
          <w:spacing w:val="-6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上海紫泰酒店管理有限公司万豪大酒店（复评）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宋体" w:cs="Times New Roman"/>
          <w:spacing w:val="-6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上海东锦江大酒店有限公司（复评）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宋体" w:cs="Times New Roman"/>
          <w:spacing w:val="-6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上海斯威格大酒店有限公司（复评）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宋体" w:cs="Times New Roman"/>
          <w:spacing w:val="-6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上海第十人民医院（复评）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宋体" w:cs="Times New Roman"/>
          <w:spacing w:val="-6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复旦大学附属金山医院（复评）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宋体" w:cs="Times New Roman"/>
          <w:spacing w:val="-6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上海市普陀区中心医院（复评）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Times New Roman" w:hAnsi="Times New Roman" w:eastAsia="黑体" w:cs="Times New Roman"/>
          <w:b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>二、银牌能效</w:t>
      </w:r>
      <w:r>
        <w:rPr>
          <w:rFonts w:hint="default" w:ascii="Times New Roman" w:hAnsi="Times New Roman" w:eastAsia="黑体" w:cs="Times New Roman"/>
          <w:b/>
          <w:spacing w:val="-6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>领跑者</w:t>
      </w:r>
      <w:r>
        <w:rPr>
          <w:rFonts w:hint="default" w:ascii="Times New Roman" w:hAnsi="Times New Roman" w:eastAsia="黑体" w:cs="Times New Roman"/>
          <w:b/>
          <w:spacing w:val="-6"/>
          <w:kern w:val="2"/>
          <w:sz w:val="32"/>
          <w:szCs w:val="32"/>
          <w:lang w:val="en-US" w:eastAsia="zh-CN" w:bidi="ar"/>
        </w:rPr>
        <w:t>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中国电信上海分公司漕盈数据中心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上海嘉婷荟房地产发展有限公司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上海世博百联商业有限公司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上海奉贤巴士公共交通有限公司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上海市第一妇婴保健院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上海外高桥第三发电有限责任公司（复评）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上海上电漕泾发电有限公司（复评）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上海松江开元名都大酒店有限公司（复评）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上海虹桥迎宾馆（复评）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pacing w:val="-6"/>
          <w:kern w:val="2"/>
          <w:sz w:val="32"/>
          <w:szCs w:val="32"/>
          <w:lang w:val="en-US" w:eastAsia="zh-CN" w:bidi="ar"/>
        </w:rPr>
        <w:t>上海中医药大学附属岳阳中西医结合医院（复评）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Times New Roman" w:hAnsi="Times New Roman" w:eastAsia="黑体" w:cs="Times New Roman"/>
          <w:b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>三、铜牌能效</w:t>
      </w:r>
      <w:r>
        <w:rPr>
          <w:rFonts w:hint="default" w:ascii="Times New Roman" w:hAnsi="Times New Roman" w:eastAsia="黑体" w:cs="Times New Roman"/>
          <w:b/>
          <w:spacing w:val="-6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黑体" w:hAnsi="宋体" w:eastAsia="黑体" w:cs="黑体"/>
          <w:b/>
          <w:spacing w:val="-6"/>
          <w:kern w:val="2"/>
          <w:sz w:val="32"/>
          <w:szCs w:val="32"/>
          <w:lang w:val="en-US" w:eastAsia="zh-CN" w:bidi="ar"/>
        </w:rPr>
        <w:t>领跑者</w:t>
      </w:r>
      <w:r>
        <w:rPr>
          <w:rFonts w:hint="default" w:ascii="Times New Roman" w:hAnsi="Times New Roman" w:eastAsia="黑体" w:cs="Times New Roman"/>
          <w:b/>
          <w:spacing w:val="-6"/>
          <w:kern w:val="2"/>
          <w:sz w:val="32"/>
          <w:szCs w:val="32"/>
          <w:lang w:val="en-US" w:eastAsia="zh-CN" w:bidi="ar"/>
        </w:rPr>
        <w:t>”</w:t>
      </w:r>
    </w:p>
    <w:p>
      <w:pPr>
        <w:pStyle w:val="4"/>
        <w:keepNext w:val="0"/>
        <w:keepLines w:val="0"/>
        <w:widowControl/>
        <w:suppressLineNumbers w:val="0"/>
        <w:spacing w:line="560" w:lineRule="exact"/>
        <w:ind w:left="0" w:firstLine="640"/>
        <w:rPr>
          <w:rFonts w:hint="eastAsia" w:ascii="Times New Roman" w:hAnsi="宋体" w:eastAsia="仿宋_GB2312" w:cs="Times New Roman"/>
          <w:kern w:val="2"/>
          <w:sz w:val="32"/>
          <w:szCs w:val="32"/>
        </w:rPr>
      </w:pPr>
      <w:r>
        <w:rPr>
          <w:rFonts w:hint="eastAsia" w:ascii="Times New Roman" w:hAnsi="宋体" w:eastAsia="仿宋_GB2312" w:cs="Times New Roman"/>
          <w:kern w:val="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上海漕泾热电有限责任公司</w:t>
      </w:r>
    </w:p>
    <w:p>
      <w:pPr>
        <w:pStyle w:val="4"/>
        <w:keepNext w:val="0"/>
        <w:keepLines w:val="0"/>
        <w:widowControl/>
        <w:suppressLineNumbers w:val="0"/>
        <w:spacing w:line="560" w:lineRule="exact"/>
        <w:ind w:left="0" w:firstLine="640"/>
        <w:rPr>
          <w:rFonts w:hint="eastAsia" w:ascii="Times New Roman" w:hAnsi="宋体" w:eastAsia="仿宋_GB2312" w:cs="Times New Roman"/>
          <w:kern w:val="2"/>
          <w:sz w:val="32"/>
          <w:szCs w:val="32"/>
        </w:rPr>
      </w:pPr>
      <w:r>
        <w:rPr>
          <w:rFonts w:hint="eastAsia" w:ascii="Times New Roman" w:hAnsi="宋体" w:eastAsia="仿宋_GB2312" w:cs="Times New Roman"/>
          <w:kern w:val="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上海嘉定公共交通有限公司</w:t>
      </w:r>
    </w:p>
    <w:p>
      <w:pPr>
        <w:pStyle w:val="4"/>
        <w:keepNext w:val="0"/>
        <w:keepLines w:val="0"/>
        <w:widowControl/>
        <w:suppressLineNumbers w:val="0"/>
        <w:spacing w:line="560" w:lineRule="exact"/>
        <w:ind w:left="0" w:firstLine="640"/>
        <w:rPr>
          <w:rFonts w:hint="eastAsia" w:ascii="Times New Roman" w:hAnsi="Times New Roman" w:eastAsia="仿宋_GB2312" w:cs="宋体"/>
          <w:kern w:val="2"/>
          <w:sz w:val="32"/>
          <w:szCs w:val="32"/>
        </w:rPr>
      </w:pPr>
      <w:r>
        <w:rPr>
          <w:rFonts w:hint="eastAsia" w:ascii="Times New Roman" w:hAnsi="宋体" w:eastAsia="仿宋_GB2312" w:cs="Times New Roman"/>
          <w:kern w:val="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上海中航光电子有限公司（复评）</w:t>
      </w:r>
    </w:p>
    <w:p>
      <w:pPr>
        <w:pStyle w:val="4"/>
        <w:keepNext w:val="0"/>
        <w:keepLines w:val="0"/>
        <w:widowControl/>
        <w:suppressLineNumbers w:val="0"/>
        <w:spacing w:line="560" w:lineRule="exact"/>
        <w:ind w:left="0" w:firstLine="640"/>
        <w:rPr>
          <w:rFonts w:hint="default" w:ascii="Times New Roman" w:hAnsi="Times New Roman" w:eastAsia="仿宋_GB2312" w:cs="宋体"/>
          <w:kern w:val="2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上海扬子江大酒店有限公司（复评）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F117F"/>
    <w:rsid w:val="38A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汇报正文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Times New Roman" w:hAnsi="Times New Roman" w:eastAsia="仿宋_GB2312" w:cs="宋体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2021-05-14T08:51:00Z</dcterms:created>
  <dc:creator>Administrator</dc:creator>
  <cp:lastModifiedBy>Administrator</cp:lastModifiedBy>
  <dcterms:modified xsi:type="dcterms:W3CDTF">2021-05-14T08:52:05Z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50BE9A5586B7410DB2633014340BBC1E</vt:lpwstr>
  </property>
</Properties>
</file>