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/>
          <w:b/>
          <w:color w:val="auto"/>
          <w:sz w:val="36"/>
          <w:szCs w:val="36"/>
          <w:lang w:eastAsia="zh-CN"/>
        </w:rPr>
      </w:pPr>
      <w:r>
        <w:rPr>
          <w:rFonts w:hint="eastAsia" w:ascii="华文中宋" w:hAnsi="华文中宋" w:eastAsia="华文中宋"/>
          <w:b/>
          <w:color w:val="auto"/>
          <w:sz w:val="36"/>
          <w:szCs w:val="36"/>
          <w:lang w:eastAsia="zh-CN"/>
        </w:rPr>
        <w:t>中国（上海）自由贸易试验区</w:t>
      </w:r>
      <w:r>
        <w:rPr>
          <w:rFonts w:hint="eastAsia" w:ascii="华文中宋" w:hAnsi="华文中宋" w:eastAsia="华文中宋"/>
          <w:b/>
          <w:color w:val="auto"/>
          <w:sz w:val="36"/>
          <w:szCs w:val="36"/>
        </w:rPr>
        <w:t>保税</w:t>
      </w:r>
      <w:r>
        <w:rPr>
          <w:rFonts w:hint="eastAsia" w:ascii="华文中宋" w:hAnsi="华文中宋" w:eastAsia="华文中宋"/>
          <w:b/>
          <w:color w:val="auto"/>
          <w:sz w:val="36"/>
          <w:szCs w:val="36"/>
          <w:lang w:eastAsia="zh-CN"/>
        </w:rPr>
        <w:t>区域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/>
          <w:b/>
          <w:color w:val="auto"/>
          <w:sz w:val="36"/>
          <w:szCs w:val="36"/>
        </w:rPr>
      </w:pPr>
      <w:r>
        <w:rPr>
          <w:rFonts w:hint="eastAsia" w:ascii="华文中宋" w:hAnsi="华文中宋" w:eastAsia="华文中宋"/>
          <w:b/>
          <w:color w:val="auto"/>
          <w:sz w:val="36"/>
          <w:szCs w:val="36"/>
        </w:rPr>
        <w:t>诚信建设示范区试点方案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为贯彻落实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党中央、</w:t>
      </w:r>
      <w:r>
        <w:rPr>
          <w:rFonts w:ascii="Times New Roman" w:eastAsia="仿宋_GB2312"/>
          <w:color w:val="auto"/>
          <w:kern w:val="0"/>
          <w:sz w:val="32"/>
          <w:szCs w:val="32"/>
        </w:rPr>
        <w:t>国务院</w:t>
      </w:r>
      <w:r>
        <w:rPr>
          <w:rFonts w:hint="eastAsia" w:ascii="Times New Roman" w:eastAsia="仿宋_GB2312"/>
          <w:color w:val="auto"/>
          <w:kern w:val="0"/>
          <w:sz w:val="32"/>
          <w:szCs w:val="32"/>
          <w:lang w:eastAsia="zh-CN"/>
        </w:rPr>
        <w:t>《</w:t>
      </w:r>
      <w:r>
        <w:rPr>
          <w:rFonts w:ascii="Times New Roman" w:eastAsia="仿宋_GB2312"/>
          <w:color w:val="auto"/>
          <w:kern w:val="0"/>
          <w:sz w:val="32"/>
          <w:szCs w:val="32"/>
        </w:rPr>
        <w:t>关于支持浦东新区高水平改革开放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 xml:space="preserve"> </w:t>
      </w:r>
      <w:r>
        <w:rPr>
          <w:rFonts w:ascii="Times New Roman" w:eastAsia="仿宋_GB2312"/>
          <w:color w:val="auto"/>
          <w:kern w:val="0"/>
          <w:sz w:val="32"/>
          <w:szCs w:val="32"/>
        </w:rPr>
        <w:t>打造社会主义现代化建设引领区的意见</w:t>
      </w:r>
      <w:r>
        <w:rPr>
          <w:rFonts w:hint="eastAsia" w:ascii="Times New Roman" w:eastAsia="仿宋_GB2312"/>
          <w:color w:val="auto"/>
          <w:kern w:val="0"/>
          <w:sz w:val="32"/>
          <w:szCs w:val="32"/>
          <w:lang w:eastAsia="zh-CN"/>
        </w:rPr>
        <w:t>》和</w:t>
      </w:r>
      <w:r>
        <w:rPr>
          <w:rFonts w:hint="eastAsia" w:ascii="Times New Roman" w:eastAsia="仿宋_GB2312"/>
          <w:color w:val="auto"/>
          <w:kern w:val="0"/>
          <w:sz w:val="32"/>
          <w:szCs w:val="32"/>
        </w:rPr>
        <w:t>《关于推进社会信用体系建设高质量发展</w:t>
      </w:r>
      <w:r>
        <w:rPr>
          <w:rFonts w:hint="eastAsia" w:ascii="Times New Roman" w:eastAsia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eastAsia="仿宋_GB2312"/>
          <w:color w:val="auto"/>
          <w:kern w:val="0"/>
          <w:sz w:val="32"/>
          <w:szCs w:val="32"/>
        </w:rPr>
        <w:t>促进新发展格局的意见》</w:t>
      </w:r>
      <w:r>
        <w:rPr>
          <w:rFonts w:hint="eastAsia" w:ascii="Times New Roman" w:eastAsia="仿宋_GB2312"/>
          <w:color w:val="auto"/>
          <w:kern w:val="0"/>
          <w:sz w:val="32"/>
          <w:szCs w:val="32"/>
          <w:lang w:eastAsia="zh-CN"/>
        </w:rPr>
        <w:t>的决策部署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Times New Roman" w:eastAsia="仿宋_GB2312"/>
          <w:color w:val="auto"/>
          <w:kern w:val="0"/>
          <w:sz w:val="32"/>
          <w:szCs w:val="32"/>
          <w:lang w:eastAsia="zh-CN"/>
        </w:rPr>
        <w:t>统筹推进信用建设和信用监管试点示范，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加快</w:t>
      </w:r>
      <w:r>
        <w:rPr>
          <w:rFonts w:hint="eastAsia" w:ascii="Times New Roman" w:eastAsia="仿宋_GB2312"/>
          <w:color w:val="auto"/>
          <w:kern w:val="0"/>
          <w:sz w:val="32"/>
          <w:szCs w:val="32"/>
          <w:lang w:eastAsia="zh-CN"/>
        </w:rPr>
        <w:t>构建与高水平改革开放相适应的社会信用体系，</w:t>
      </w:r>
      <w:r>
        <w:rPr>
          <w:rFonts w:hint="eastAsia" w:ascii="Times New Roman" w:eastAsia="仿宋_GB2312"/>
          <w:color w:val="auto"/>
          <w:kern w:val="0"/>
          <w:sz w:val="32"/>
          <w:szCs w:val="32"/>
        </w:rPr>
        <w:t>打造</w:t>
      </w:r>
      <w:r>
        <w:rPr>
          <w:rFonts w:hint="eastAsia" w:ascii="Times New Roman" w:eastAsia="仿宋_GB2312"/>
          <w:color w:val="auto"/>
          <w:kern w:val="0"/>
          <w:sz w:val="32"/>
          <w:szCs w:val="32"/>
          <w:lang w:eastAsia="zh-CN"/>
        </w:rPr>
        <w:t>中国（上海）自由贸易试验区保税区域</w:t>
      </w:r>
      <w:r>
        <w:rPr>
          <w:rFonts w:hint="eastAsia" w:ascii="仿宋_GB2312" w:eastAsia="仿宋_GB2312"/>
          <w:color w:val="auto"/>
          <w:sz w:val="32"/>
          <w:szCs w:val="32"/>
        </w:rPr>
        <w:t>诚信建设示范区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，特</w:t>
      </w:r>
      <w:r>
        <w:rPr>
          <w:rFonts w:hint="eastAsia" w:ascii="仿宋_GB2312" w:eastAsia="仿宋_GB2312"/>
          <w:color w:val="auto"/>
          <w:sz w:val="32"/>
          <w:szCs w:val="32"/>
          <w:lang w:val="en"/>
        </w:rPr>
        <w:t>制定本试点方案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黑体" w:hAnsi="黑体" w:eastAsia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bCs/>
          <w:color w:val="auto"/>
          <w:sz w:val="32"/>
          <w:szCs w:val="32"/>
          <w:lang w:eastAsia="zh-CN"/>
        </w:rPr>
        <w:t>总体要求</w:t>
      </w:r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lang w:eastAsia="zh-CN"/>
        </w:rPr>
        <w:t>（一）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</w:rPr>
        <w:t>指导思想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黑体" w:eastAsia="仿宋_GB2312" w:cs="Times New Roman"/>
          <w:color w:val="auto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</w:rPr>
        <w:t>以习近平新时代中国特色社会主义思想为指导，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深入</w:t>
      </w:r>
      <w:r>
        <w:rPr>
          <w:rFonts w:hint="eastAsia" w:ascii="仿宋_GB2312" w:eastAsia="仿宋_GB2312"/>
          <w:color w:val="auto"/>
          <w:sz w:val="32"/>
          <w:szCs w:val="32"/>
        </w:rPr>
        <w:t>贯彻党的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二十大</w:t>
      </w:r>
      <w:r>
        <w:rPr>
          <w:rFonts w:hint="eastAsia" w:ascii="仿宋_GB2312" w:eastAsia="仿宋_GB2312"/>
          <w:color w:val="auto"/>
          <w:sz w:val="32"/>
          <w:szCs w:val="32"/>
        </w:rPr>
        <w:t>精神，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按照依法依规、改革创新、协同共治的基本原则，以加强信用监管为着力点，深入推进信用理念、信用制度、信用手段在</w:t>
      </w:r>
      <w:r>
        <w:rPr>
          <w:rFonts w:hint="eastAsia" w:ascii="Times New Roman" w:eastAsia="仿宋_GB2312"/>
          <w:color w:val="auto"/>
          <w:kern w:val="0"/>
          <w:sz w:val="32"/>
          <w:szCs w:val="32"/>
          <w:lang w:eastAsia="zh-CN"/>
        </w:rPr>
        <w:t>中国（上海）自由贸易试验区</w:t>
      </w:r>
      <w:r>
        <w:rPr>
          <w:rFonts w:hint="eastAsia" w:ascii="仿宋_GB2312" w:hAnsi="等线" w:eastAsia="仿宋_GB2312" w:cs="Arial"/>
          <w:color w:val="auto"/>
          <w:sz w:val="32"/>
          <w:szCs w:val="32"/>
          <w:lang w:val="en-US" w:eastAsia="zh-CN"/>
        </w:rPr>
        <w:t>保税区</w:t>
      </w:r>
      <w:r>
        <w:rPr>
          <w:rFonts w:hint="eastAsia" w:ascii="仿宋_GB2312" w:eastAsia="仿宋_GB2312"/>
          <w:color w:val="auto"/>
          <w:sz w:val="32"/>
          <w:szCs w:val="32"/>
        </w:rPr>
        <w:t>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多元化应用。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充分利用海关特殊监管区域有形物理围网、全生命周期信息围网、分类精准信用围网的“三网协同监管”优势，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加快建立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以信用为基础的新型监管机制，进一步发挥信用对提高资源配置效率、降低制度性交易成本、防范化解风险的重要作用，为全面深化改革和扩大开放提供有力支撑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lang w:eastAsia="zh-CN"/>
        </w:rPr>
        <w:t>（二）总体目标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等线" w:eastAsia="仿宋_GB2312" w:cs="Arial"/>
          <w:color w:val="auto"/>
          <w:sz w:val="32"/>
          <w:szCs w:val="32"/>
          <w:lang w:bidi="ar"/>
        </w:rPr>
      </w:pPr>
      <w:r>
        <w:rPr>
          <w:rFonts w:hint="eastAsia" w:ascii="仿宋_GB2312" w:hAnsi="等线" w:eastAsia="仿宋_GB2312" w:cs="Arial"/>
          <w:color w:val="auto"/>
          <w:sz w:val="32"/>
          <w:szCs w:val="32"/>
          <w:lang w:eastAsia="zh-CN"/>
        </w:rPr>
        <w:t>到</w:t>
      </w:r>
      <w:r>
        <w:rPr>
          <w:rFonts w:hint="eastAsia" w:ascii="仿宋_GB2312" w:hAnsi="等线" w:eastAsia="仿宋_GB2312" w:cs="Arial"/>
          <w:color w:val="auto"/>
          <w:sz w:val="32"/>
          <w:szCs w:val="32"/>
          <w:lang w:val="en-US" w:eastAsia="zh-CN"/>
        </w:rPr>
        <w:t>2025年，全面建成</w:t>
      </w:r>
      <w:r>
        <w:rPr>
          <w:rFonts w:hint="eastAsia" w:ascii="Times New Roman" w:eastAsia="仿宋_GB2312"/>
          <w:color w:val="auto"/>
          <w:kern w:val="0"/>
          <w:sz w:val="32"/>
          <w:szCs w:val="32"/>
          <w:lang w:eastAsia="zh-CN"/>
        </w:rPr>
        <w:t>中国（上海）自由贸易试验区</w:t>
      </w:r>
      <w:r>
        <w:rPr>
          <w:rFonts w:hint="eastAsia" w:ascii="仿宋_GB2312" w:hAnsi="等线" w:eastAsia="仿宋_GB2312" w:cs="Arial"/>
          <w:color w:val="auto"/>
          <w:sz w:val="32"/>
          <w:szCs w:val="32"/>
          <w:lang w:val="en-US" w:eastAsia="zh-CN"/>
        </w:rPr>
        <w:t>保税区</w:t>
      </w:r>
      <w:r>
        <w:rPr>
          <w:rFonts w:hint="eastAsia" w:ascii="仿宋_GB2312" w:eastAsia="仿宋_GB2312"/>
          <w:color w:val="auto"/>
          <w:sz w:val="32"/>
          <w:szCs w:val="32"/>
        </w:rPr>
        <w:t>域诚信建设示范区</w:t>
      </w:r>
      <w:r>
        <w:rPr>
          <w:rFonts w:hint="eastAsia" w:ascii="仿宋_GB2312" w:hAnsi="等线" w:eastAsia="仿宋_GB2312" w:cs="Arial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_GB2312" w:hAnsi="等线" w:eastAsia="仿宋_GB2312" w:cs="Arial"/>
          <w:color w:val="auto"/>
          <w:kern w:val="2"/>
          <w:sz w:val="32"/>
          <w:szCs w:val="32"/>
          <w:lang w:val="en-US" w:eastAsia="zh-CN" w:bidi="ar"/>
        </w:rPr>
        <w:t>基本建立数据全面覆盖、应用领域广泛、监管有力有效的区域特色社会信用体系。信用基础支撑更加完善，</w:t>
      </w:r>
      <w:r>
        <w:rPr>
          <w:rFonts w:hint="eastAsia" w:ascii="仿宋_GB2312" w:hAnsi="等线" w:eastAsia="仿宋_GB2312" w:cs="Arial"/>
          <w:color w:val="auto"/>
          <w:sz w:val="32"/>
          <w:szCs w:val="32"/>
          <w:lang w:bidi="ar"/>
        </w:rPr>
        <w:t>信用信息网络覆盖</w:t>
      </w:r>
      <w:r>
        <w:rPr>
          <w:rFonts w:hint="eastAsia" w:ascii="仿宋_GB2312" w:hAnsi="等线" w:eastAsia="仿宋_GB2312" w:cs="Arial"/>
          <w:color w:val="auto"/>
          <w:sz w:val="32"/>
          <w:szCs w:val="32"/>
          <w:lang w:val="en-US" w:eastAsia="zh-CN" w:bidi="ar"/>
        </w:rPr>
        <w:t>区域</w:t>
      </w:r>
      <w:r>
        <w:rPr>
          <w:rFonts w:hint="eastAsia" w:ascii="仿宋_GB2312" w:hAnsi="等线" w:eastAsia="仿宋_GB2312" w:cs="Arial"/>
          <w:color w:val="auto"/>
          <w:sz w:val="32"/>
          <w:szCs w:val="32"/>
          <w:lang w:bidi="ar"/>
        </w:rPr>
        <w:t>全部信用主体、所有信用信息类别</w:t>
      </w:r>
      <w:r>
        <w:rPr>
          <w:rFonts w:hint="eastAsia" w:ascii="仿宋_GB2312" w:hAnsi="等线" w:eastAsia="仿宋_GB2312" w:cs="Arial"/>
          <w:color w:val="auto"/>
          <w:sz w:val="32"/>
          <w:szCs w:val="32"/>
          <w:lang w:eastAsia="zh-CN" w:bidi="ar"/>
        </w:rPr>
        <w:t>，</w:t>
      </w:r>
      <w:r>
        <w:rPr>
          <w:rFonts w:hint="eastAsia" w:ascii="仿宋_GB2312" w:hAnsi="等线" w:eastAsia="仿宋_GB2312" w:cs="Arial"/>
          <w:color w:val="auto"/>
          <w:sz w:val="32"/>
          <w:szCs w:val="32"/>
        </w:rPr>
        <w:t>区</w:t>
      </w:r>
      <w:r>
        <w:rPr>
          <w:rFonts w:hint="eastAsia" w:ascii="仿宋_GB2312" w:hAnsi="等线" w:eastAsia="仿宋_GB2312" w:cs="Arial"/>
          <w:color w:val="auto"/>
          <w:sz w:val="32"/>
          <w:szCs w:val="32"/>
          <w:lang w:bidi="ar"/>
        </w:rPr>
        <w:t>域一体化信息管理服务平</w:t>
      </w:r>
      <w:r>
        <w:rPr>
          <w:rFonts w:hint="eastAsia" w:ascii="仿宋_GB2312" w:hAnsi="等线" w:eastAsia="仿宋_GB2312" w:cs="Arial"/>
          <w:color w:val="auto"/>
          <w:sz w:val="32"/>
          <w:szCs w:val="32"/>
        </w:rPr>
        <w:t>台</w:t>
      </w:r>
      <w:r>
        <w:rPr>
          <w:rFonts w:hint="eastAsia" w:ascii="仿宋_GB2312" w:hAnsi="等线" w:eastAsia="仿宋_GB2312" w:cs="Arial"/>
          <w:color w:val="auto"/>
          <w:sz w:val="32"/>
          <w:szCs w:val="32"/>
          <w:lang w:bidi="ar"/>
        </w:rPr>
        <w:t>更加高效</w:t>
      </w:r>
      <w:r>
        <w:rPr>
          <w:rFonts w:hint="eastAsia" w:ascii="仿宋_GB2312" w:hAnsi="等线" w:eastAsia="仿宋_GB2312" w:cs="Arial"/>
          <w:color w:val="auto"/>
          <w:sz w:val="32"/>
          <w:szCs w:val="32"/>
          <w:lang w:eastAsia="zh-CN" w:bidi="ar"/>
        </w:rPr>
        <w:t>。</w:t>
      </w:r>
      <w:r>
        <w:rPr>
          <w:rFonts w:hint="eastAsia" w:ascii="仿宋_GB2312" w:hAnsi="等线" w:eastAsia="仿宋_GB2312" w:cs="Arial"/>
          <w:color w:val="auto"/>
          <w:sz w:val="32"/>
          <w:szCs w:val="32"/>
          <w:lang w:bidi="ar"/>
        </w:rPr>
        <w:t>衔接事前、事中、事后全流程的信用监管机制</w:t>
      </w:r>
      <w:r>
        <w:rPr>
          <w:rFonts w:hint="eastAsia" w:ascii="仿宋_GB2312" w:hAnsi="等线" w:eastAsia="仿宋_GB2312" w:cs="Arial"/>
          <w:color w:val="auto"/>
          <w:sz w:val="32"/>
          <w:szCs w:val="32"/>
          <w:lang w:val="en-US" w:eastAsia="zh-CN" w:bidi="ar"/>
        </w:rPr>
        <w:t>基本形成</w:t>
      </w:r>
      <w:r>
        <w:rPr>
          <w:rFonts w:hint="eastAsia" w:ascii="仿宋_GB2312" w:hAnsi="等线" w:eastAsia="仿宋_GB2312" w:cs="Arial"/>
          <w:color w:val="auto"/>
          <w:sz w:val="32"/>
          <w:szCs w:val="32"/>
          <w:lang w:bidi="ar"/>
        </w:rPr>
        <w:t>，</w:t>
      </w:r>
      <w:r>
        <w:rPr>
          <w:rFonts w:hint="eastAsia" w:ascii="仿宋_GB2312" w:hAnsi="等线" w:eastAsia="仿宋_GB2312" w:cs="Arial"/>
          <w:color w:val="auto"/>
          <w:kern w:val="2"/>
          <w:sz w:val="32"/>
          <w:szCs w:val="32"/>
          <w:lang w:val="en-US" w:eastAsia="zh-CN" w:bidi="ar"/>
        </w:rPr>
        <w:t>信用应用深度融入投资、贸易、金融等领域，</w:t>
      </w:r>
      <w:r>
        <w:rPr>
          <w:rFonts w:hint="eastAsia" w:ascii="仿宋_GB2312" w:hAnsi="等线" w:eastAsia="仿宋_GB2312" w:cs="Arial"/>
          <w:color w:val="auto"/>
          <w:sz w:val="32"/>
          <w:szCs w:val="32"/>
          <w:lang w:eastAsia="zh-CN" w:bidi="ar"/>
        </w:rPr>
        <w:t>为</w:t>
      </w:r>
      <w:r>
        <w:rPr>
          <w:rFonts w:hint="eastAsia" w:ascii="仿宋_GB2312" w:hAnsi="等线" w:eastAsia="仿宋_GB2312" w:cs="Arial"/>
          <w:color w:val="auto"/>
          <w:sz w:val="32"/>
          <w:szCs w:val="32"/>
          <w:lang w:val="en-US" w:eastAsia="zh-CN" w:bidi="ar"/>
        </w:rPr>
        <w:t>实现</w:t>
      </w:r>
      <w:r>
        <w:rPr>
          <w:rFonts w:hint="eastAsia" w:ascii="仿宋_GB2312" w:hAnsi="等线" w:eastAsia="仿宋_GB2312" w:cs="Arial"/>
          <w:color w:val="auto"/>
          <w:sz w:val="32"/>
          <w:szCs w:val="32"/>
          <w:lang w:bidi="ar"/>
        </w:rPr>
        <w:t>经济循环畅通</w:t>
      </w:r>
      <w:r>
        <w:rPr>
          <w:rFonts w:hint="eastAsia" w:ascii="仿宋_GB2312" w:hAnsi="等线" w:eastAsia="仿宋_GB2312" w:cs="Arial"/>
          <w:color w:val="auto"/>
          <w:sz w:val="32"/>
          <w:szCs w:val="32"/>
          <w:lang w:eastAsia="zh-CN" w:bidi="ar"/>
        </w:rPr>
        <w:t>、</w:t>
      </w:r>
      <w:r>
        <w:rPr>
          <w:rFonts w:hint="eastAsia" w:ascii="仿宋_GB2312" w:hAnsi="等线" w:eastAsia="仿宋_GB2312" w:cs="Arial"/>
          <w:color w:val="auto"/>
          <w:kern w:val="2"/>
          <w:sz w:val="32"/>
          <w:szCs w:val="32"/>
          <w:lang w:val="en-US" w:eastAsia="zh-CN" w:bidi="ar"/>
        </w:rPr>
        <w:t>投资贸易便利、风险精准防控</w:t>
      </w:r>
      <w:r>
        <w:rPr>
          <w:rFonts w:hint="eastAsia" w:ascii="仿宋_GB2312" w:hAnsi="等线" w:eastAsia="仿宋_GB2312" w:cs="Arial"/>
          <w:color w:val="auto"/>
          <w:sz w:val="32"/>
          <w:szCs w:val="32"/>
          <w:lang w:eastAsia="zh-CN" w:bidi="ar"/>
        </w:rPr>
        <w:t>提供</w:t>
      </w:r>
      <w:r>
        <w:rPr>
          <w:rFonts w:hint="eastAsia" w:ascii="仿宋_GB2312" w:hAnsi="等线" w:eastAsia="仿宋_GB2312" w:cs="Arial"/>
          <w:color w:val="auto"/>
          <w:sz w:val="32"/>
          <w:szCs w:val="32"/>
          <w:lang w:val="en-US" w:eastAsia="zh-CN" w:bidi="ar"/>
        </w:rPr>
        <w:t>信用</w:t>
      </w:r>
      <w:r>
        <w:rPr>
          <w:rFonts w:hint="eastAsia" w:ascii="仿宋_GB2312" w:hAnsi="等线" w:eastAsia="仿宋_GB2312" w:cs="Arial"/>
          <w:color w:val="auto"/>
          <w:sz w:val="32"/>
          <w:szCs w:val="32"/>
          <w:lang w:eastAsia="zh-CN" w:bidi="ar"/>
        </w:rPr>
        <w:t>支撑</w:t>
      </w:r>
      <w:r>
        <w:rPr>
          <w:rFonts w:hint="eastAsia" w:ascii="仿宋_GB2312" w:hAnsi="等线" w:eastAsia="仿宋_GB2312" w:cs="Arial"/>
          <w:color w:val="auto"/>
          <w:sz w:val="32"/>
          <w:szCs w:val="32"/>
          <w:lang w:bidi="ar"/>
        </w:rPr>
        <w:t>。</w:t>
      </w:r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lang w:eastAsia="zh-CN"/>
        </w:rPr>
        <w:t>（三）试点范围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等线" w:eastAsia="仿宋_GB2312" w:cs="Arial"/>
          <w:color w:val="auto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外高桥保税区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外高桥港综合保税区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和浦东机场综合保税区。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黑体" w:hAnsi="黑体" w:eastAsia="黑体" w:cs="Times New Roman"/>
          <w:b/>
          <w:bCs/>
          <w:color w:val="auto"/>
          <w:sz w:val="32"/>
          <w:szCs w:val="32"/>
          <w:lang w:eastAsia="zh-CN" w:bidi="ar"/>
        </w:rPr>
      </w:pPr>
      <w:r>
        <w:rPr>
          <w:rFonts w:hint="eastAsia" w:ascii="黑体" w:hAnsi="黑体" w:eastAsia="黑体" w:cs="Times New Roman"/>
          <w:b/>
          <w:bCs/>
          <w:color w:val="auto"/>
          <w:sz w:val="32"/>
          <w:szCs w:val="32"/>
          <w:lang w:eastAsia="zh-CN" w:bidi="ar"/>
        </w:rPr>
        <w:t>主要任务和措施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firstLine="0" w:firstLineChars="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lang w:val="en-US" w:eastAsia="zh-CN" w:bidi="ar"/>
        </w:rPr>
        <w:t>创新事前信用监管方式，强化风险防范</w:t>
      </w:r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3" w:firstLineChars="200"/>
        <w:textAlignment w:val="auto"/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 w:bidi="ar"/>
        </w:rPr>
        <w:t>1、加强信用数据归集共享。</w:t>
      </w:r>
      <w:r>
        <w:rPr>
          <w:rFonts w:hint="eastAsia" w:ascii="仿宋_GB2312" w:hAnsi="黑体" w:eastAsia="仿宋_GB2312" w:cs="Times New Roman"/>
          <w:b w:val="0"/>
          <w:bCs/>
          <w:color w:val="auto"/>
          <w:sz w:val="32"/>
          <w:szCs w:val="32"/>
          <w:lang w:val="en-US" w:eastAsia="zh-CN" w:bidi="ar"/>
        </w:rPr>
        <w:t>优化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保税区域一体化信息管理服务平台数字化支撑，推进平台与海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关、市场监管、税务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金融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等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领域系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统的</w:t>
      </w:r>
      <w:r>
        <w:rPr>
          <w:rFonts w:hint="eastAsia" w:ascii="仿宋_GB2312" w:hAnsi="黑体" w:eastAsia="仿宋_GB2312"/>
          <w:bCs/>
          <w:color w:val="auto"/>
          <w:sz w:val="32"/>
          <w:szCs w:val="32"/>
        </w:rPr>
        <w:t>有效对接，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加强与市公共信用信息服务平台互联互通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，实现区域特色信用数据、信用应用结果与市公共信用信息服务平台共享。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（</w:t>
      </w:r>
      <w:r>
        <w:rPr>
          <w:rFonts w:hint="eastAsia" w:ascii="楷体" w:hAnsi="楷体" w:eastAsia="楷体" w:cs="楷体"/>
          <w:bCs/>
          <w:color w:val="auto"/>
          <w:sz w:val="32"/>
          <w:szCs w:val="32"/>
          <w:lang w:val="en-US" w:eastAsia="zh-CN"/>
        </w:rPr>
        <w:t>保税区管理局牵头，上海海关、市市场监管局、市税务局、国家外汇管理局上海市分局、市信用中心等按职责分别负责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）</w:t>
      </w:r>
      <w:r>
        <w:rPr>
          <w:rFonts w:hint="eastAsia" w:ascii="仿宋_GB2312" w:hAnsi="黑体" w:eastAsia="仿宋_GB2312"/>
          <w:bCs/>
          <w:color w:val="auto"/>
          <w:sz w:val="32"/>
          <w:szCs w:val="32"/>
        </w:rPr>
        <w:t>动态归集区域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内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各类</w:t>
      </w:r>
      <w:r>
        <w:rPr>
          <w:rFonts w:hint="eastAsia" w:ascii="仿宋_GB2312" w:hAnsi="黑体" w:eastAsia="仿宋_GB2312"/>
          <w:bCs/>
          <w:color w:val="auto"/>
          <w:sz w:val="32"/>
          <w:szCs w:val="32"/>
        </w:rPr>
        <w:t>信用信息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形成区域信用数据资源池，</w:t>
      </w:r>
      <w:r>
        <w:rPr>
          <w:rFonts w:hint="eastAsia" w:ascii="仿宋_GB2312" w:hAnsi="黑体" w:eastAsia="仿宋_GB2312" w:cs="Times New Roman"/>
          <w:bCs/>
          <w:i w:val="0"/>
          <w:iCs w:val="0"/>
          <w:caps w:val="0"/>
          <w:color w:val="auto"/>
          <w:spacing w:val="0"/>
          <w:sz w:val="32"/>
          <w:szCs w:val="32"/>
          <w:shd w:val="clear" w:fill="auto"/>
        </w:rPr>
        <w:t>探索运用公用企事业单位、行业协会商会、大型平台企业等掌握的涉企信用风险信息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黑体" w:eastAsia="仿宋_GB2312"/>
          <w:bCs/>
          <w:color w:val="auto"/>
          <w:sz w:val="32"/>
          <w:szCs w:val="32"/>
        </w:rPr>
        <w:t>建立覆盖企业全生命周期的企业信用电子档案，为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深入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实施</w:t>
      </w:r>
      <w:r>
        <w:rPr>
          <w:rFonts w:hint="eastAsia" w:ascii="仿宋_GB2312" w:hAnsi="黑体" w:eastAsia="仿宋_GB2312"/>
          <w:bCs/>
          <w:color w:val="auto"/>
          <w:sz w:val="32"/>
          <w:szCs w:val="32"/>
        </w:rPr>
        <w:t>信用分类监管夯实信息基础。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Cs/>
          <w:color w:val="auto"/>
          <w:sz w:val="32"/>
          <w:szCs w:val="32"/>
          <w:lang w:val="en-US" w:eastAsia="zh-CN"/>
        </w:rPr>
        <w:t>保税区管理局牵头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3" w:firstLineChars="200"/>
        <w:textAlignment w:val="auto"/>
        <w:rPr>
          <w:rFonts w:hint="eastAsia" w:ascii="仿宋_GB2312" w:hAnsi="黑体" w:eastAsia="仿宋_GB2312" w:cs="Times New Roman"/>
          <w:bCs/>
          <w:i w:val="0"/>
          <w:iCs w:val="0"/>
          <w:caps w:val="0"/>
          <w:color w:val="auto"/>
          <w:spacing w:val="0"/>
          <w:sz w:val="32"/>
          <w:szCs w:val="32"/>
          <w:shd w:val="clear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 w:bidi="ar"/>
        </w:rPr>
        <w:t>2、建立健全信用承诺制度。</w:t>
      </w:r>
      <w:r>
        <w:rPr>
          <w:rFonts w:hint="eastAsia" w:ascii="仿宋_GB2312" w:hAnsi="黑体" w:eastAsia="仿宋_GB2312" w:cs="Times New Roman"/>
          <w:bCs/>
          <w:i w:val="0"/>
          <w:iCs w:val="0"/>
          <w:caps w:val="0"/>
          <w:color w:val="auto"/>
          <w:spacing w:val="0"/>
          <w:sz w:val="32"/>
          <w:szCs w:val="32"/>
          <w:shd w:val="clear"/>
          <w:lang w:val="en-US" w:eastAsia="zh-CN"/>
        </w:rPr>
        <w:t>全</w:t>
      </w:r>
      <w:r>
        <w:rPr>
          <w:rFonts w:hint="eastAsia" w:ascii="仿宋_GB2312" w:hAnsi="黑体" w:eastAsia="仿宋_GB2312" w:cs="Times New Roman"/>
          <w:bCs/>
          <w:i w:val="0"/>
          <w:iCs w:val="0"/>
          <w:caps w:val="0"/>
          <w:color w:val="auto"/>
          <w:spacing w:val="0"/>
          <w:sz w:val="32"/>
          <w:szCs w:val="32"/>
          <w:shd w:val="clear" w:fill="auto"/>
          <w:lang w:val="en-US" w:eastAsia="zh-CN"/>
        </w:rPr>
        <w:t>面推进涉企经营许可事项和证明事项信用承诺，</w:t>
      </w:r>
      <w:r>
        <w:rPr>
          <w:rFonts w:hint="eastAsia" w:ascii="仿宋_GB2312" w:hAnsi="黑体" w:eastAsia="仿宋_GB2312" w:cs="Times New Roman"/>
          <w:bCs/>
          <w:i w:val="0"/>
          <w:iCs w:val="0"/>
          <w:caps w:val="0"/>
          <w:color w:val="auto"/>
          <w:spacing w:val="0"/>
          <w:sz w:val="32"/>
          <w:szCs w:val="32"/>
          <w:shd w:val="clear" w:fill="auto"/>
        </w:rPr>
        <w:t>大幅提高</w:t>
      </w:r>
      <w:r>
        <w:rPr>
          <w:rFonts w:hint="eastAsia" w:ascii="仿宋_GB2312" w:hAnsi="黑体" w:eastAsia="仿宋_GB2312" w:cs="Times New Roman"/>
          <w:bCs/>
          <w:i w:val="0"/>
          <w:iCs w:val="0"/>
          <w:caps w:val="0"/>
          <w:color w:val="auto"/>
          <w:spacing w:val="0"/>
          <w:sz w:val="32"/>
          <w:szCs w:val="32"/>
          <w:shd w:val="clear" w:fill="auto"/>
          <w:lang w:eastAsia="zh-CN"/>
        </w:rPr>
        <w:t>企业</w:t>
      </w:r>
      <w:r>
        <w:rPr>
          <w:rFonts w:hint="eastAsia" w:ascii="仿宋_GB2312" w:hAnsi="黑体" w:eastAsia="仿宋_GB2312" w:cs="Times New Roman"/>
          <w:bCs/>
          <w:i w:val="0"/>
          <w:iCs w:val="0"/>
          <w:caps w:val="0"/>
          <w:color w:val="auto"/>
          <w:spacing w:val="0"/>
          <w:sz w:val="32"/>
          <w:szCs w:val="32"/>
          <w:shd w:val="clear" w:fill="auto"/>
        </w:rPr>
        <w:t>办事便利度。明确实施承诺制的事项范围和适用对象，建立承诺</w:t>
      </w:r>
      <w:r>
        <w:rPr>
          <w:rFonts w:hint="eastAsia" w:ascii="仿宋_GB2312" w:hAnsi="黑体" w:eastAsia="仿宋_GB2312" w:cs="Times New Roman"/>
          <w:bCs/>
          <w:i w:val="0"/>
          <w:iCs w:val="0"/>
          <w:caps w:val="0"/>
          <w:color w:val="auto"/>
          <w:spacing w:val="0"/>
          <w:sz w:val="32"/>
          <w:szCs w:val="32"/>
          <w:shd w:val="clear" w:fill="auto"/>
          <w:lang w:val="en-US" w:eastAsia="zh-CN"/>
        </w:rPr>
        <w:t>信息和履约情况的</w:t>
      </w:r>
      <w:r>
        <w:rPr>
          <w:rFonts w:hint="eastAsia" w:ascii="仿宋_GB2312" w:hAnsi="黑体" w:eastAsia="仿宋_GB2312" w:cs="Times New Roman"/>
          <w:bCs/>
          <w:i w:val="0"/>
          <w:iCs w:val="0"/>
          <w:caps w:val="0"/>
          <w:color w:val="auto"/>
          <w:spacing w:val="0"/>
          <w:sz w:val="32"/>
          <w:szCs w:val="32"/>
          <w:shd w:val="clear" w:fill="auto"/>
        </w:rPr>
        <w:t>记录、归集、推送工作机制。推进市场准营承诺即入制改革，市场主体作出承诺即可获得准营资格，探索审批极简、风险严控、服务精准的市场准营新模式。</w:t>
      </w:r>
      <w:r>
        <w:rPr>
          <w:rFonts w:hint="eastAsia" w:ascii="仿宋_GB2312" w:hAnsi="黑体" w:eastAsia="仿宋_GB2312" w:cs="Times New Roman"/>
          <w:bCs/>
          <w:i w:val="0"/>
          <w:iCs w:val="0"/>
          <w:caps w:val="0"/>
          <w:color w:val="auto"/>
          <w:spacing w:val="0"/>
          <w:sz w:val="32"/>
          <w:szCs w:val="32"/>
          <w:shd w:val="clear" w:fill="auto"/>
          <w:lang w:val="en-US" w:eastAsia="zh-CN"/>
        </w:rPr>
        <w:t>加大自主公示型、信用修复型、行业自律型信用承诺信息归集力度。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优化政务窗口服务功能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，为市场主体办理注册、审批、备案等相关业务时，开展标准化、规范化、便捷化的信用知识教育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，提升企业信用意识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。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Cs/>
          <w:color w:val="auto"/>
          <w:sz w:val="32"/>
          <w:szCs w:val="32"/>
          <w:lang w:val="en-US" w:eastAsia="zh-CN"/>
        </w:rPr>
        <w:t>保税区管理局牵头，市发展改革委配合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3" w:firstLineChars="200"/>
        <w:textAlignment w:val="auto"/>
        <w:rPr>
          <w:rFonts w:hint="eastAsia" w:ascii="仿宋_GB2312" w:hAnsi="黑体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 w:bidi="ar"/>
        </w:rPr>
        <w:t>3、拓展信用应用服务场景。</w:t>
      </w:r>
      <w:r>
        <w:rPr>
          <w:rFonts w:hint="eastAsia" w:ascii="仿宋_GB2312" w:hAnsi="黑体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  <w:t>在招标投标、</w:t>
      </w:r>
      <w:r>
        <w:rPr>
          <w:rFonts w:hint="eastAsia" w:ascii="仿宋_GB2312" w:hAnsi="黑体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财政</w:t>
      </w:r>
      <w:r>
        <w:rPr>
          <w:rFonts w:hint="eastAsia" w:ascii="仿宋_GB2312" w:hAnsi="黑体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  <w:t>资金扶持、</w:t>
      </w:r>
      <w:r>
        <w:rPr>
          <w:rFonts w:hint="eastAsia" w:ascii="仿宋_GB2312" w:hAnsi="黑体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通关贸易、外汇管理、境外投资、税务管理、融资贷款</w:t>
      </w:r>
      <w:r>
        <w:rPr>
          <w:rFonts w:hint="eastAsia" w:ascii="仿宋_GB2312" w:hAnsi="黑体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  <w:t>等事项中，</w:t>
      </w:r>
      <w:r>
        <w:rPr>
          <w:rFonts w:hint="eastAsia" w:ascii="仿宋_GB2312" w:hAnsi="黑体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积极应用信用报告、信用评价、信用风险预警等服务。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Cs/>
          <w:color w:val="auto"/>
          <w:sz w:val="32"/>
          <w:szCs w:val="32"/>
          <w:lang w:val="en-US" w:eastAsia="zh-CN"/>
        </w:rPr>
        <w:t>保税区管理局牵头，市住房城乡建设管理委、市财政局、上海海关、国家外汇管理局上海市分局、市税务局、市地方金融监管局、人民银行上海总部、上海银保监局、上海证监局、国家林草局上海专员办、市信用中心等按职责分别负责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黑体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auto"/>
        </w:rPr>
        <w:t>充分</w:t>
      </w:r>
      <w:r>
        <w:rPr>
          <w:rFonts w:hint="eastAsia" w:ascii="仿宋_GB2312" w:hAnsi="黑体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auto"/>
          <w:lang w:val="en-US" w:eastAsia="zh-CN"/>
        </w:rPr>
        <w:t>运用</w:t>
      </w:r>
      <w:r>
        <w:rPr>
          <w:rFonts w:hint="eastAsia" w:ascii="仿宋_GB2312" w:hAnsi="黑体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auto"/>
        </w:rPr>
        <w:t>大数据、人工智能、区块链等技术，</w:t>
      </w:r>
      <w:r>
        <w:rPr>
          <w:rFonts w:hint="eastAsia" w:ascii="仿宋_GB2312" w:hAnsi="黑体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auto"/>
          <w:lang w:val="en-US" w:eastAsia="zh-CN"/>
        </w:rPr>
        <w:t>鼓励</w:t>
      </w:r>
      <w:r>
        <w:rPr>
          <w:rFonts w:hint="eastAsia" w:ascii="仿宋_GB2312" w:hAnsi="黑体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auto"/>
        </w:rPr>
        <w:t>与</w:t>
      </w:r>
      <w:r>
        <w:rPr>
          <w:rFonts w:hint="eastAsia" w:ascii="仿宋_GB2312" w:hAnsi="黑体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auto"/>
          <w:lang w:eastAsia="zh-CN"/>
        </w:rPr>
        <w:t>信用服务</w:t>
      </w:r>
      <w:r>
        <w:rPr>
          <w:rFonts w:hint="eastAsia" w:ascii="仿宋_GB2312" w:hAnsi="黑体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auto"/>
        </w:rPr>
        <w:t>机构</w:t>
      </w:r>
      <w:r>
        <w:rPr>
          <w:rFonts w:hint="eastAsia" w:ascii="仿宋_GB2312" w:hAnsi="黑体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auto"/>
          <w:lang w:eastAsia="zh-CN"/>
        </w:rPr>
        <w:t>加强合作</w:t>
      </w:r>
      <w:r>
        <w:rPr>
          <w:rFonts w:hint="eastAsia" w:ascii="仿宋_GB2312" w:hAnsi="黑体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auto"/>
        </w:rPr>
        <w:t>，及时动态掌握市场主体</w:t>
      </w:r>
      <w:r>
        <w:rPr>
          <w:rFonts w:hint="eastAsia" w:ascii="仿宋_GB2312" w:hAnsi="黑体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auto"/>
          <w:lang w:val="en-US" w:eastAsia="zh-CN"/>
        </w:rPr>
        <w:t>合法</w:t>
      </w:r>
      <w:r>
        <w:rPr>
          <w:rFonts w:hint="eastAsia" w:ascii="仿宋_GB2312" w:hAnsi="黑体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auto"/>
        </w:rPr>
        <w:t>经营情况及其规律特征。建立</w:t>
      </w:r>
      <w:r>
        <w:rPr>
          <w:rFonts w:hint="eastAsia" w:ascii="仿宋_GB2312" w:hAnsi="黑体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auto"/>
          <w:lang w:val="en-US" w:eastAsia="zh-CN"/>
        </w:rPr>
        <w:t>信用</w:t>
      </w:r>
      <w:r>
        <w:rPr>
          <w:rFonts w:hint="eastAsia" w:ascii="仿宋_GB2312" w:hAnsi="黑体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auto"/>
        </w:rPr>
        <w:t>风险预判预警机制，</w:t>
      </w:r>
      <w:r>
        <w:rPr>
          <w:rFonts w:hint="eastAsia" w:ascii="仿宋_GB2312" w:hAnsi="黑体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auto"/>
          <w:lang w:val="en-US" w:eastAsia="zh-CN"/>
        </w:rPr>
        <w:t>及时</w:t>
      </w:r>
      <w:r>
        <w:rPr>
          <w:rFonts w:hint="eastAsia" w:ascii="仿宋_GB2312" w:hAnsi="黑体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auto"/>
        </w:rPr>
        <w:t>发现防范苗头性和跨行业跨区域风险</w:t>
      </w:r>
      <w:r>
        <w:rPr>
          <w:rFonts w:hint="eastAsia" w:ascii="仿宋_GB2312" w:hAnsi="黑体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auto"/>
          <w:lang w:eastAsia="zh-CN"/>
        </w:rPr>
        <w:t>，</w:t>
      </w:r>
      <w:r>
        <w:rPr>
          <w:rFonts w:hint="eastAsia" w:ascii="仿宋_GB2312" w:hAnsi="黑体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auto"/>
        </w:rPr>
        <w:t>主动</w:t>
      </w:r>
      <w:r>
        <w:rPr>
          <w:rFonts w:hint="eastAsia" w:ascii="仿宋_GB2312" w:hAnsi="黑体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auto"/>
          <w:lang w:val="en-US" w:eastAsia="zh-CN"/>
        </w:rPr>
        <w:t>监测</w:t>
      </w:r>
      <w:r>
        <w:rPr>
          <w:rFonts w:hint="eastAsia" w:ascii="仿宋_GB2312" w:hAnsi="黑体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auto"/>
        </w:rPr>
        <w:t>和识别违法违规线索，有效防范</w:t>
      </w:r>
      <w:r>
        <w:rPr>
          <w:rFonts w:hint="eastAsia" w:ascii="仿宋_GB2312" w:hAnsi="黑体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auto"/>
          <w:lang w:eastAsia="zh-CN"/>
        </w:rPr>
        <w:t>风险</w:t>
      </w:r>
      <w:r>
        <w:rPr>
          <w:rFonts w:hint="eastAsia" w:ascii="仿宋_GB2312" w:hAnsi="黑体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auto"/>
        </w:rPr>
        <w:t>。</w:t>
      </w:r>
      <w:r>
        <w:rPr>
          <w:rFonts w:hint="eastAsia" w:ascii="仿宋_GB2312" w:hAnsi="黑体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auto"/>
          <w:lang w:eastAsia="zh-CN"/>
        </w:rPr>
        <w:t>（</w:t>
      </w:r>
      <w:r>
        <w:rPr>
          <w:rFonts w:hint="eastAsia" w:ascii="楷体" w:hAnsi="楷体" w:eastAsia="楷体" w:cs="楷体"/>
          <w:bCs/>
          <w:color w:val="auto"/>
          <w:sz w:val="32"/>
          <w:szCs w:val="32"/>
          <w:lang w:val="en-US" w:eastAsia="zh-CN"/>
        </w:rPr>
        <w:t>保税区管理局牵头</w:t>
      </w:r>
      <w:r>
        <w:rPr>
          <w:rFonts w:hint="eastAsia" w:ascii="仿宋_GB2312" w:hAnsi="黑体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auto"/>
          <w:lang w:eastAsia="zh-CN"/>
        </w:rPr>
        <w:t>）</w:t>
      </w:r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firstLine="0" w:firstLineChars="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lang w:val="en-US" w:eastAsia="zh-CN" w:bidi="ar"/>
        </w:rPr>
        <w:t>（二）构建事中信用分类监管模式，提升监管效能</w:t>
      </w:r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3" w:firstLineChars="200"/>
        <w:textAlignment w:val="auto"/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 w:bidi="ar"/>
        </w:rPr>
        <w:t>4、建立企业信用分类指标体系。</w:t>
      </w:r>
      <w:r>
        <w:rPr>
          <w:rFonts w:hint="eastAsia" w:ascii="仿宋_GB2312" w:hAnsi="黑体" w:eastAsia="仿宋_GB2312"/>
          <w:b w:val="0"/>
          <w:bCs w:val="0"/>
          <w:color w:val="auto"/>
          <w:sz w:val="32"/>
          <w:szCs w:val="32"/>
          <w:lang w:val="en-US" w:eastAsia="zh-CN"/>
        </w:rPr>
        <w:t>依托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保税区域一体化信息管理服务平台和市公共信用信息服务平台，结合浦东新区公共信用综合评价试点</w:t>
      </w:r>
      <w:r>
        <w:rPr>
          <w:rFonts w:hint="eastAsia" w:ascii="仿宋_GB2312" w:hAnsi="黑体" w:eastAsia="仿宋_GB2312"/>
          <w:bCs/>
          <w:color w:val="auto"/>
          <w:sz w:val="32"/>
          <w:szCs w:val="32"/>
        </w:rPr>
        <w:t>，通过大数据智能算法模型对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区域内企业</w:t>
      </w:r>
      <w:r>
        <w:rPr>
          <w:rFonts w:hint="eastAsia" w:ascii="仿宋_GB2312" w:hAnsi="黑体" w:eastAsia="仿宋_GB2312"/>
          <w:bCs/>
          <w:color w:val="auto"/>
          <w:sz w:val="32"/>
          <w:szCs w:val="32"/>
        </w:rPr>
        <w:t>进行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关联分析和</w:t>
      </w:r>
      <w:r>
        <w:rPr>
          <w:rFonts w:hint="eastAsia" w:ascii="仿宋_GB2312" w:hAnsi="黑体" w:eastAsia="仿宋_GB2312"/>
          <w:bCs/>
          <w:color w:val="auto"/>
          <w:sz w:val="32"/>
          <w:szCs w:val="32"/>
        </w:rPr>
        <w:t>精准画像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开展企业信用状况综合评价。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Cs/>
          <w:color w:val="auto"/>
          <w:sz w:val="32"/>
          <w:szCs w:val="32"/>
          <w:lang w:val="en-US" w:eastAsia="zh-CN"/>
        </w:rPr>
        <w:t>保税区管理局牵头，浦东新区人民政府、市信用中心按职责分别负责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积极</w:t>
      </w:r>
      <w:r>
        <w:rPr>
          <w:rFonts w:hint="eastAsia" w:ascii="仿宋_GB2312" w:hAnsi="黑体" w:eastAsia="仿宋_GB2312"/>
          <w:bCs/>
          <w:color w:val="auto"/>
          <w:sz w:val="32"/>
          <w:szCs w:val="32"/>
        </w:rPr>
        <w:t>采信跨部门公共信用信息及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综合评价结果</w:t>
      </w:r>
      <w:r>
        <w:rPr>
          <w:rFonts w:hint="eastAsia" w:ascii="仿宋_GB2312" w:hAnsi="黑体" w:eastAsia="仿宋_GB2312"/>
          <w:bCs/>
          <w:color w:val="auto"/>
          <w:sz w:val="32"/>
          <w:szCs w:val="32"/>
        </w:rPr>
        <w:t>，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结合行业特点优化本行业信用评价标准。</w:t>
      </w:r>
      <w:r>
        <w:rPr>
          <w:rFonts w:hint="eastAsia" w:ascii="仿宋_GB2312" w:hAnsi="黑体" w:eastAsia="仿宋_GB2312"/>
          <w:bCs/>
          <w:color w:val="auto"/>
          <w:sz w:val="32"/>
          <w:szCs w:val="32"/>
        </w:rPr>
        <w:t>探索推进企业跨部门信用评价结果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的</w:t>
      </w:r>
      <w:r>
        <w:rPr>
          <w:rFonts w:hint="eastAsia" w:ascii="仿宋_GB2312" w:hAnsi="黑体" w:eastAsia="仿宋_GB2312"/>
          <w:bCs/>
          <w:color w:val="auto"/>
          <w:sz w:val="32"/>
          <w:szCs w:val="32"/>
        </w:rPr>
        <w:t>互认、融合。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Cs/>
          <w:color w:val="auto"/>
          <w:sz w:val="32"/>
          <w:szCs w:val="32"/>
          <w:lang w:val="en-US" w:eastAsia="zh-CN"/>
        </w:rPr>
        <w:t>保税区管理局牵头，市发展改革委配合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3" w:firstLineChars="200"/>
        <w:textAlignment w:val="auto"/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 w:bidi="ar"/>
        </w:rPr>
        <w:t>5、实施信用分类监管应用。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按照“守法便利”原则，积极运用公共信用综合评价，把信用等级作为企业享受优惠政策和制度便利的重要依据，</w:t>
      </w:r>
      <w:r>
        <w:rPr>
          <w:rFonts w:hint="eastAsia" w:ascii="仿宋_GB2312" w:hAnsi="黑体" w:eastAsia="仿宋_GB2312"/>
          <w:bCs/>
          <w:color w:val="auto"/>
          <w:sz w:val="32"/>
          <w:szCs w:val="32"/>
        </w:rPr>
        <w:t>根据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企业</w:t>
      </w:r>
      <w:r>
        <w:rPr>
          <w:rFonts w:hint="eastAsia" w:ascii="仿宋_GB2312" w:hAnsi="黑体" w:eastAsia="仿宋_GB2312"/>
          <w:bCs/>
          <w:color w:val="auto"/>
          <w:sz w:val="32"/>
          <w:szCs w:val="32"/>
        </w:rPr>
        <w:t>信用等级高低等因素，实施差异化监管措施。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在货物进出口、出口退税、境外投资备案、人员出入境管理、质量认证等方面，从</w:t>
      </w:r>
      <w:r>
        <w:rPr>
          <w:rFonts w:hint="eastAsia" w:ascii="仿宋_GB2312" w:hAnsi="黑体" w:eastAsia="仿宋_GB2312"/>
          <w:bCs/>
          <w:color w:val="auto"/>
          <w:sz w:val="32"/>
          <w:szCs w:val="32"/>
        </w:rPr>
        <w:t>监管资源分配、监管方法、监管内容和监管频次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等角度</w:t>
      </w:r>
      <w:r>
        <w:rPr>
          <w:rFonts w:hint="eastAsia" w:ascii="仿宋_GB2312" w:hAnsi="黑体" w:eastAsia="仿宋_GB2312"/>
          <w:bCs/>
          <w:color w:val="auto"/>
          <w:sz w:val="32"/>
          <w:szCs w:val="32"/>
        </w:rPr>
        <w:t>，建立相应的激励和惩戒机制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对AEO（经认证的经营者</w:t>
      </w:r>
      <w:bookmarkStart w:id="0" w:name="_GoBack"/>
      <w:bookmarkEnd w:id="0"/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）高级认证企业，采取优先办理进出口货物通关手续及相关业务手续、降低查验率等措施。</w:t>
      </w:r>
      <w:r>
        <w:rPr>
          <w:rFonts w:hint="eastAsia" w:ascii="楷体" w:hAnsi="楷体" w:eastAsia="楷体" w:cs="楷体"/>
          <w:bCs/>
          <w:color w:val="auto"/>
          <w:sz w:val="32"/>
          <w:szCs w:val="32"/>
          <w:lang w:val="en-US" w:eastAsia="zh-CN"/>
        </w:rPr>
        <w:t>（上海海关牵头）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对A级纳税人和公共信用等级高的GOP（全球运营商计划）企业予以重点指导、提供绿色通道、远距离监管等措施</w:t>
      </w:r>
      <w:r>
        <w:rPr>
          <w:rFonts w:hint="eastAsia" w:ascii="仿宋_GB2312" w:hAnsi="黑体" w:eastAsia="仿宋_GB2312"/>
          <w:bCs/>
          <w:color w:val="auto"/>
          <w:sz w:val="32"/>
          <w:szCs w:val="32"/>
        </w:rPr>
        <w:t>，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优化监管资源配置，提升诚信经营企业信用获得感</w:t>
      </w:r>
      <w:r>
        <w:rPr>
          <w:rFonts w:hint="eastAsia" w:ascii="仿宋_GB2312" w:hAnsi="黑体" w:eastAsia="仿宋_GB2312"/>
          <w:bCs/>
          <w:color w:val="auto"/>
          <w:sz w:val="32"/>
          <w:szCs w:val="32"/>
        </w:rPr>
        <w:t>。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Cs/>
          <w:color w:val="auto"/>
          <w:sz w:val="32"/>
          <w:szCs w:val="32"/>
          <w:lang w:val="en-US" w:eastAsia="zh-CN"/>
        </w:rPr>
        <w:t>保税区管理局牵头，市税务局、国家外汇管理局上海市分局、国家林草局上海专员办、市发展改革委、市市场监管局、市公安局等按职责分别负责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firstLine="0" w:firstLineChars="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lang w:val="en-US" w:eastAsia="zh-CN" w:bidi="ar"/>
        </w:rPr>
        <w:t>（三）健全事后信用奖惩机制，优化政务服务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黑体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 w:bidi="ar"/>
        </w:rPr>
        <w:t>6、建立信用奖惩对象管理机制。</w:t>
      </w:r>
      <w:r>
        <w:rPr>
          <w:rFonts w:hint="eastAsia" w:ascii="仿宋_GB2312" w:hAnsi="黑体" w:eastAsia="仿宋_GB2312" w:cs="Times New Roman"/>
          <w:bCs/>
          <w:i w:val="0"/>
          <w:iCs w:val="0"/>
          <w:caps w:val="0"/>
          <w:color w:val="auto"/>
          <w:spacing w:val="0"/>
          <w:sz w:val="32"/>
          <w:szCs w:val="32"/>
          <w:shd w:val="clear"/>
          <w:lang w:val="en-US" w:eastAsia="zh-CN"/>
        </w:rPr>
        <w:t>依法依规</w:t>
      </w:r>
      <w:r>
        <w:rPr>
          <w:rFonts w:hint="eastAsia" w:ascii="仿宋_GB2312" w:hAnsi="黑体" w:eastAsia="仿宋_GB2312"/>
          <w:bCs/>
          <w:color w:val="auto"/>
          <w:sz w:val="32"/>
          <w:szCs w:val="32"/>
        </w:rPr>
        <w:t>建立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保税区域</w:t>
      </w:r>
      <w:r>
        <w:rPr>
          <w:rFonts w:hint="eastAsia" w:ascii="仿宋_GB2312" w:hAnsi="黑体" w:eastAsia="仿宋_GB2312"/>
          <w:bCs/>
          <w:color w:val="auto"/>
          <w:sz w:val="32"/>
          <w:szCs w:val="32"/>
        </w:rPr>
        <w:t>诚信示范企业名单</w:t>
      </w:r>
      <w:r>
        <w:rPr>
          <w:rFonts w:hint="eastAsia" w:ascii="仿宋_GB2312" w:hAnsi="黑体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 w:bidi="ar"/>
        </w:rPr>
        <w:t>和严重失信</w:t>
      </w:r>
      <w:r>
        <w:rPr>
          <w:rFonts w:hint="eastAsia" w:ascii="仿宋_GB2312" w:hAnsi="黑体" w:eastAsia="仿宋_GB2312" w:cs="Times New Roman"/>
          <w:bCs/>
          <w:i w:val="0"/>
          <w:iCs w:val="0"/>
          <w:caps w:val="0"/>
          <w:color w:val="auto"/>
          <w:spacing w:val="0"/>
          <w:sz w:val="32"/>
          <w:szCs w:val="32"/>
          <w:shd w:val="clear"/>
          <w:lang w:val="en-US" w:eastAsia="zh-CN"/>
        </w:rPr>
        <w:t>主体名</w:t>
      </w:r>
      <w:r>
        <w:rPr>
          <w:rFonts w:hint="eastAsia" w:ascii="仿宋_GB2312" w:hAnsi="黑体" w:eastAsia="仿宋_GB2312"/>
          <w:bCs/>
          <w:color w:val="auto"/>
          <w:sz w:val="32"/>
          <w:szCs w:val="32"/>
        </w:rPr>
        <w:t>单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管理制度，</w:t>
      </w:r>
      <w:r>
        <w:rPr>
          <w:rFonts w:hint="eastAsia" w:ascii="仿宋_GB2312" w:hAnsi="黑体" w:eastAsia="仿宋_GB2312" w:cs="Times New Roman"/>
          <w:color w:val="auto"/>
          <w:sz w:val="32"/>
          <w:szCs w:val="32"/>
          <w:lang w:val="en-US" w:eastAsia="zh-CN"/>
        </w:rPr>
        <w:t>及时在</w:t>
      </w:r>
      <w:r>
        <w:rPr>
          <w:rFonts w:hint="eastAsia" w:ascii="仿宋_GB2312" w:hAnsi="黑体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 w:bidi="ar"/>
        </w:rPr>
        <w:t>保税区域一体化信息管理服务平台</w:t>
      </w:r>
      <w:r>
        <w:rPr>
          <w:rFonts w:hint="eastAsia" w:ascii="仿宋_GB2312" w:hAnsi="黑体" w:eastAsia="仿宋_GB2312" w:cs="Times New Roman"/>
          <w:b w:val="0"/>
          <w:bCs/>
          <w:color w:val="auto"/>
          <w:sz w:val="32"/>
          <w:szCs w:val="32"/>
          <w:lang w:val="en-US" w:eastAsia="zh-CN" w:bidi="ar"/>
        </w:rPr>
        <w:t>上发布、共享两类名单，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着力提升守信企业信用获得感。（</w:t>
      </w:r>
      <w:r>
        <w:rPr>
          <w:rFonts w:hint="eastAsia" w:ascii="楷体" w:hAnsi="楷体" w:eastAsia="楷体" w:cs="楷体"/>
          <w:bCs/>
          <w:color w:val="auto"/>
          <w:sz w:val="32"/>
          <w:szCs w:val="32"/>
          <w:lang w:val="en-US" w:eastAsia="zh-CN"/>
        </w:rPr>
        <w:t>保税区管理局牵头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）</w:t>
      </w:r>
      <w:r>
        <w:rPr>
          <w:rFonts w:hint="eastAsia" w:ascii="仿宋_GB2312" w:hAnsi="黑体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 w:bidi="ar"/>
        </w:rPr>
        <w:t>对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保税区域</w:t>
      </w:r>
      <w:r>
        <w:rPr>
          <w:rFonts w:hint="eastAsia" w:ascii="仿宋_GB2312" w:hAnsi="黑体" w:eastAsia="仿宋_GB2312"/>
          <w:bCs/>
          <w:color w:val="auto"/>
          <w:sz w:val="32"/>
          <w:szCs w:val="32"/>
        </w:rPr>
        <w:t>诚信示范</w:t>
      </w:r>
      <w:r>
        <w:rPr>
          <w:rFonts w:hint="eastAsia" w:ascii="仿宋_GB2312" w:hAnsi="黑体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 w:bidi="ar"/>
        </w:rPr>
        <w:t>企业，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提供</w:t>
      </w:r>
      <w:r>
        <w:rPr>
          <w:rFonts w:hint="eastAsia" w:ascii="仿宋_GB2312" w:hAnsi="黑体" w:eastAsia="仿宋_GB2312" w:cs="Times New Roman"/>
          <w:bCs/>
          <w:color w:val="auto"/>
          <w:sz w:val="32"/>
          <w:szCs w:val="32"/>
        </w:rPr>
        <w:t>审批便利</w:t>
      </w:r>
      <w:r>
        <w:rPr>
          <w:rFonts w:hint="eastAsia" w:ascii="仿宋_GB2312" w:hAnsi="黑体" w:eastAsia="仿宋_GB2312" w:cs="Times New Roman"/>
          <w:bCs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黑体" w:eastAsia="仿宋_GB2312" w:cs="Times New Roman"/>
          <w:bCs/>
          <w:color w:val="auto"/>
          <w:sz w:val="32"/>
          <w:szCs w:val="32"/>
        </w:rPr>
        <w:t>优化监管安排、</w:t>
      </w:r>
      <w:r>
        <w:rPr>
          <w:rFonts w:hint="eastAsia" w:ascii="仿宋_GB2312" w:hAnsi="黑体" w:eastAsia="仿宋_GB2312" w:cs="Times New Roman"/>
          <w:bCs/>
          <w:color w:val="auto"/>
          <w:sz w:val="32"/>
          <w:szCs w:val="32"/>
          <w:lang w:eastAsia="zh-CN"/>
        </w:rPr>
        <w:t>优先适用便利政策和改革措施、给予公共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资源</w:t>
      </w:r>
      <w:r>
        <w:rPr>
          <w:rFonts w:hint="eastAsia" w:ascii="仿宋_GB2312" w:hAnsi="黑体" w:eastAsia="仿宋_GB2312" w:cs="Times New Roman"/>
          <w:bCs/>
          <w:color w:val="auto"/>
          <w:sz w:val="32"/>
          <w:szCs w:val="32"/>
          <w:lang w:eastAsia="zh-CN"/>
        </w:rPr>
        <w:t>支持、授予荣誉和助力企业成长</w:t>
      </w:r>
      <w:r>
        <w:rPr>
          <w:rFonts w:hint="eastAsia" w:ascii="仿宋_GB2312" w:hAnsi="黑体" w:eastAsia="仿宋_GB2312" w:cs="Times New Roman"/>
          <w:bCs/>
          <w:color w:val="auto"/>
          <w:sz w:val="32"/>
          <w:szCs w:val="32"/>
          <w:lang w:val="en-US" w:eastAsia="zh-CN"/>
        </w:rPr>
        <w:t>等激励措施。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（</w:t>
      </w:r>
      <w:r>
        <w:rPr>
          <w:rFonts w:hint="eastAsia" w:ascii="楷体" w:hAnsi="楷体" w:eastAsia="楷体" w:cs="楷体"/>
          <w:bCs/>
          <w:color w:val="auto"/>
          <w:sz w:val="32"/>
          <w:szCs w:val="32"/>
          <w:lang w:val="en-US" w:eastAsia="zh-CN"/>
        </w:rPr>
        <w:t>保税区管理局、上海海关、国家外汇管理局上海市分局、国家林草局上海专员办、市市场监管局、市药监局、市税务局、市公安局、市规划资源局等按职责分别负责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仿宋_GB2312" w:hAnsi="黑体" w:eastAsia="仿宋_GB2312"/>
          <w:bCs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 w:bidi="ar"/>
        </w:rPr>
        <w:t>7、提升信用修复服务效能。</w:t>
      </w:r>
      <w:r>
        <w:rPr>
          <w:rFonts w:hint="eastAsia" w:ascii="仿宋_GB2312" w:hAnsi="黑体" w:eastAsia="仿宋_GB2312"/>
          <w:bCs/>
          <w:color w:val="auto"/>
          <w:sz w:val="32"/>
          <w:szCs w:val="32"/>
        </w:rPr>
        <w:t>建立有利于自我纠错、主动自新的信用修复机制，落实信用修复的具体规定，明确修复方式和程序。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对</w:t>
      </w:r>
      <w:r>
        <w:rPr>
          <w:rFonts w:hint="eastAsia" w:ascii="仿宋_GB2312" w:hAnsi="黑体" w:eastAsia="仿宋_GB2312"/>
          <w:bCs/>
          <w:color w:val="auto"/>
          <w:sz w:val="32"/>
          <w:szCs w:val="32"/>
        </w:rPr>
        <w:t>符合修复条件的，按规定</w:t>
      </w:r>
      <w:r>
        <w:rPr>
          <w:rFonts w:hint="eastAsia" w:ascii="仿宋_GB2312" w:hAnsi="黑体" w:eastAsia="仿宋_GB2312" w:cs="Times New Roman"/>
          <w:bCs/>
          <w:i w:val="0"/>
          <w:iCs w:val="0"/>
          <w:caps w:val="0"/>
          <w:color w:val="auto"/>
          <w:spacing w:val="0"/>
          <w:sz w:val="32"/>
          <w:szCs w:val="32"/>
          <w:shd w:val="clear" w:fill="auto"/>
        </w:rPr>
        <w:t>及时停止公示其失信记录，终止实施联合惩戒措施</w:t>
      </w:r>
      <w:r>
        <w:rPr>
          <w:rFonts w:hint="eastAsia" w:ascii="仿宋_GB2312" w:hAnsi="黑体" w:eastAsia="仿宋_GB2312"/>
          <w:bCs/>
          <w:color w:val="auto"/>
          <w:sz w:val="32"/>
          <w:szCs w:val="32"/>
        </w:rPr>
        <w:t>。加强信用修复信息共享，加快建立完善协同联动信用修复机制，提高信用修复效率。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Cs/>
          <w:color w:val="auto"/>
          <w:sz w:val="32"/>
          <w:szCs w:val="32"/>
          <w:lang w:val="en-US" w:eastAsia="zh-CN"/>
        </w:rPr>
        <w:t>保税区管理局牵头，市发展改革委配合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5"/>
        <w:textAlignment w:val="auto"/>
        <w:rPr>
          <w:rFonts w:hint="default" w:ascii="楷体" w:hAnsi="楷体" w:eastAsia="楷体" w:cs="楷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 w:bidi="ar"/>
        </w:rPr>
        <w:t>8、加大诚信企业培育力度。</w:t>
      </w:r>
      <w:r>
        <w:rPr>
          <w:rFonts w:hint="eastAsia" w:ascii="仿宋_GB2312" w:hAnsi="黑体" w:eastAsia="仿宋_GB2312"/>
          <w:bCs/>
          <w:color w:val="auto"/>
          <w:sz w:val="32"/>
          <w:szCs w:val="32"/>
        </w:rPr>
        <w:t>发挥区域“三位一体”服务机制优势，针对重点企业、重点领域企业成长需求，进行信用管理政策专场解读培训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黑体" w:eastAsia="仿宋_GB2312"/>
          <w:bCs/>
          <w:color w:val="auto"/>
          <w:sz w:val="32"/>
          <w:szCs w:val="32"/>
        </w:rPr>
        <w:t>落实专人专岗对接服务，常态化举办信用培育专题会议，</w:t>
      </w:r>
      <w:r>
        <w:rPr>
          <w:rFonts w:hint="eastAsia" w:ascii="仿宋_GB2312" w:hAnsi="黑体" w:eastAsia="仿宋_GB2312" w:cs="Times New Roman"/>
          <w:bCs/>
          <w:i w:val="0"/>
          <w:iCs w:val="0"/>
          <w:caps w:val="0"/>
          <w:color w:val="auto"/>
          <w:spacing w:val="0"/>
          <w:sz w:val="32"/>
          <w:szCs w:val="32"/>
          <w:shd w:val="clear" w:fill="auto"/>
        </w:rPr>
        <w:t>帮助企业强化诚信守法意识，提高诚信经营水平。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Cs/>
          <w:color w:val="auto"/>
          <w:sz w:val="32"/>
          <w:szCs w:val="32"/>
          <w:lang w:val="en-US" w:eastAsia="zh-CN"/>
        </w:rPr>
        <w:t>保税区管理局牵头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）着力提升产业链供应链韧性和安全水平，</w:t>
      </w:r>
      <w:r>
        <w:rPr>
          <w:rFonts w:hint="eastAsia" w:ascii="仿宋_GB2312" w:hAnsi="黑体" w:eastAsia="仿宋_GB2312" w:cs="Times New Roman"/>
          <w:bCs/>
          <w:i w:val="0"/>
          <w:iCs w:val="0"/>
          <w:caps w:val="0"/>
          <w:color w:val="auto"/>
          <w:spacing w:val="0"/>
          <w:sz w:val="32"/>
          <w:szCs w:val="32"/>
          <w:shd w:val="clear" w:fill="auto"/>
          <w:lang w:eastAsia="zh-CN"/>
        </w:rPr>
        <w:t>探索</w:t>
      </w:r>
      <w:r>
        <w:rPr>
          <w:rFonts w:hint="eastAsia" w:ascii="仿宋_GB2312" w:hAnsi="黑体" w:eastAsia="仿宋_GB2312" w:cs="Times New Roman"/>
          <w:bCs/>
          <w:i w:val="0"/>
          <w:iCs w:val="0"/>
          <w:caps w:val="0"/>
          <w:color w:val="auto"/>
          <w:spacing w:val="0"/>
          <w:sz w:val="32"/>
          <w:szCs w:val="32"/>
        </w:rPr>
        <w:t>开展产业链供应链培育</w:t>
      </w:r>
      <w:r>
        <w:rPr>
          <w:rFonts w:hint="eastAsia" w:ascii="仿宋_GB2312" w:hAnsi="黑体" w:eastAsia="仿宋_GB2312" w:cs="Times New Roman"/>
          <w:bCs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服务</w:t>
      </w:r>
      <w:r>
        <w:rPr>
          <w:rFonts w:hint="eastAsia" w:ascii="仿宋_GB2312" w:hAnsi="黑体" w:eastAsia="仿宋_GB2312" w:cs="Times New Roman"/>
          <w:bCs/>
          <w:i w:val="0"/>
          <w:iCs w:val="0"/>
          <w:caps w:val="0"/>
          <w:color w:val="auto"/>
          <w:spacing w:val="0"/>
          <w:sz w:val="32"/>
          <w:szCs w:val="32"/>
        </w:rPr>
        <w:t>，</w:t>
      </w:r>
      <w:r>
        <w:rPr>
          <w:rFonts w:hint="eastAsia" w:ascii="仿宋_GB2312" w:hAnsi="黑体" w:eastAsia="仿宋_GB2312" w:cs="Times New Roman"/>
          <w:bCs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促进</w:t>
      </w:r>
      <w:r>
        <w:rPr>
          <w:rFonts w:hint="eastAsia" w:ascii="仿宋_GB2312" w:hAnsi="黑体" w:eastAsia="仿宋_GB2312"/>
          <w:b w:val="0"/>
          <w:bCs/>
          <w:color w:val="auto"/>
          <w:sz w:val="32"/>
          <w:szCs w:val="32"/>
          <w:lang w:val="en-US" w:eastAsia="zh-CN"/>
        </w:rPr>
        <w:t>上海自贸试验区保税区域内</w:t>
      </w:r>
      <w:r>
        <w:rPr>
          <w:rFonts w:hint="eastAsia" w:ascii="仿宋_GB2312" w:hAnsi="黑体" w:eastAsia="仿宋_GB2312" w:cs="Times New Roman"/>
          <w:bCs/>
          <w:i w:val="0"/>
          <w:iCs w:val="0"/>
          <w:caps w:val="0"/>
          <w:color w:val="auto"/>
          <w:spacing w:val="0"/>
          <w:sz w:val="32"/>
          <w:szCs w:val="32"/>
        </w:rPr>
        <w:t>链上企业同步提升信用管理水平，降低全产业链综合成本</w:t>
      </w:r>
      <w:r>
        <w:rPr>
          <w:rFonts w:hint="eastAsia" w:ascii="仿宋_GB2312" w:hAnsi="黑体" w:eastAsia="仿宋_GB2312" w:cs="Times New Roman"/>
          <w:bCs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。</w:t>
      </w:r>
      <w:r>
        <w:rPr>
          <w:rFonts w:hint="eastAsia" w:ascii="楷体" w:hAnsi="楷体" w:eastAsia="楷体" w:cs="楷体"/>
          <w:bCs/>
          <w:color w:val="auto"/>
          <w:sz w:val="32"/>
          <w:szCs w:val="32"/>
          <w:lang w:val="en-US" w:eastAsia="zh-CN"/>
        </w:rPr>
        <w:t>（保税区管理局牵头）</w:t>
      </w:r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黑体" w:hAnsi="黑体" w:eastAsia="黑体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lang w:val="en-US" w:eastAsia="zh-CN" w:bidi="ar"/>
        </w:rPr>
        <w:t>三、组织保障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5"/>
        <w:textAlignment w:val="auto"/>
        <w:rPr>
          <w:rFonts w:hint="eastAsia" w:ascii="仿宋_GB2312" w:hAnsi="黑体" w:eastAsia="仿宋_GB2312"/>
          <w:bCs/>
          <w:color w:val="auto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/>
          <w:lang w:val="en-US" w:eastAsia="zh-CN" w:bidi="ar"/>
        </w:rPr>
        <w:t>（一）加快推进实施。</w:t>
      </w:r>
      <w:r>
        <w:rPr>
          <w:rFonts w:hint="eastAsia" w:ascii="仿宋_GB2312" w:hAnsi="黑体" w:eastAsia="仿宋_GB2312"/>
          <w:b w:val="0"/>
          <w:bCs/>
          <w:color w:val="auto"/>
          <w:sz w:val="32"/>
          <w:szCs w:val="32"/>
          <w:lang w:val="en-US" w:eastAsia="zh-CN"/>
        </w:rPr>
        <w:t>各有关单位根据方案明确的目标任务，形成可操作的配套制度，细化责任分工。保税区管理局定期总结交流试点工作成效，研究推进重点事项和遇到的问题。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黑体" w:eastAsia="仿宋_GB2312" w:cs="Times New Roman"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/>
          <w:lang w:val="en-US" w:eastAsia="zh-CN" w:bidi="ar"/>
        </w:rPr>
        <w:t>（二）强化技术支撑。</w:t>
      </w:r>
      <w:r>
        <w:rPr>
          <w:rFonts w:hint="eastAsia" w:ascii="仿宋_GB2312" w:hAnsi="黑体" w:eastAsia="仿宋_GB2312" w:cs="Times New Roman"/>
          <w:bCs/>
          <w:color w:val="auto"/>
          <w:kern w:val="2"/>
          <w:sz w:val="32"/>
          <w:szCs w:val="32"/>
          <w:lang w:val="en-US" w:eastAsia="zh-CN" w:bidi="ar"/>
        </w:rPr>
        <w:t>优化完善保税</w:t>
      </w:r>
      <w:r>
        <w:rPr>
          <w:rFonts w:hint="eastAsia" w:ascii="仿宋_GB2312" w:hAnsi="等线" w:eastAsia="仿宋_GB2312" w:cs="Arial"/>
          <w:color w:val="auto"/>
          <w:sz w:val="32"/>
          <w:szCs w:val="32"/>
        </w:rPr>
        <w:t>区</w:t>
      </w:r>
      <w:r>
        <w:rPr>
          <w:rFonts w:hint="eastAsia" w:ascii="仿宋_GB2312" w:hAnsi="等线" w:eastAsia="仿宋_GB2312" w:cs="Arial"/>
          <w:color w:val="auto"/>
          <w:sz w:val="32"/>
          <w:szCs w:val="32"/>
          <w:lang w:bidi="ar"/>
        </w:rPr>
        <w:t>域一体化信息管理服务平</w:t>
      </w:r>
      <w:r>
        <w:rPr>
          <w:rFonts w:hint="eastAsia" w:ascii="仿宋_GB2312" w:hAnsi="等线" w:eastAsia="仿宋_GB2312" w:cs="Arial"/>
          <w:color w:val="auto"/>
          <w:sz w:val="32"/>
          <w:szCs w:val="32"/>
        </w:rPr>
        <w:t>台</w:t>
      </w:r>
      <w:r>
        <w:rPr>
          <w:rFonts w:hint="eastAsia" w:ascii="仿宋_GB2312" w:hAnsi="黑体" w:eastAsia="仿宋_GB2312" w:cs="Times New Roman"/>
          <w:bCs/>
          <w:color w:val="auto"/>
          <w:kern w:val="2"/>
          <w:sz w:val="32"/>
          <w:szCs w:val="32"/>
          <w:lang w:val="en-US" w:eastAsia="zh-CN" w:bidi="ar"/>
        </w:rPr>
        <w:t>，加快信用数据资源交互和应用支撑体系建设。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推进跨境贸易大数据平台（保税区域）建设，综合事中事后监管数据，拓展进出口通关信用</w:t>
      </w:r>
      <w:r>
        <w:rPr>
          <w:rFonts w:hint="eastAsia" w:ascii="仿宋_GB2312" w:eastAsia="仿宋_GB2312"/>
          <w:color w:val="auto"/>
          <w:sz w:val="32"/>
          <w:szCs w:val="32"/>
        </w:rPr>
        <w:t>数字化管理应用场景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黑体" w:eastAsia="仿宋_GB2312" w:cs="Times New Roman"/>
          <w:bCs/>
          <w:color w:val="auto"/>
          <w:kern w:val="2"/>
          <w:sz w:val="32"/>
          <w:szCs w:val="32"/>
          <w:lang w:val="en-US" w:eastAsia="zh-CN" w:bidi="ar"/>
        </w:rPr>
        <w:t>加强信用数据挖掘和多维关联分析能力，全面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提升保税区域整体风险防控能力</w:t>
      </w:r>
      <w:r>
        <w:rPr>
          <w:rFonts w:hint="eastAsia" w:ascii="仿宋_GB2312" w:hAnsi="黑体" w:eastAsia="仿宋_GB2312" w:cs="Times New Roman"/>
          <w:bCs/>
          <w:color w:val="auto"/>
          <w:kern w:val="2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5"/>
        <w:textAlignment w:val="auto"/>
        <w:rPr>
          <w:color w:val="auto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/>
          <w:lang w:val="en-US" w:eastAsia="zh-CN" w:bidi="ar"/>
        </w:rPr>
        <w:t>（三）鼓励探索创新。</w:t>
      </w:r>
      <w:r>
        <w:rPr>
          <w:rFonts w:hint="eastAsia" w:ascii="仿宋_GB2312" w:hAnsi="黑体" w:eastAsia="仿宋_GB2312" w:cs="Times New Roman"/>
          <w:bCs/>
          <w:color w:val="auto"/>
          <w:kern w:val="2"/>
          <w:sz w:val="32"/>
          <w:szCs w:val="32"/>
          <w:lang w:val="en-US" w:eastAsia="zh-CN" w:bidi="ar"/>
        </w:rPr>
        <w:t>推动信用举措与重点改革事项融合开展，</w:t>
      </w:r>
      <w:r>
        <w:rPr>
          <w:rFonts w:hint="eastAsia" w:ascii="仿宋_GB2312" w:hAnsi="黑体" w:eastAsia="仿宋_GB2312"/>
          <w:bCs/>
          <w:color w:val="auto"/>
          <w:sz w:val="32"/>
          <w:szCs w:val="32"/>
        </w:rPr>
        <w:t>做好政策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解读和</w:t>
      </w:r>
      <w:r>
        <w:rPr>
          <w:rFonts w:hint="eastAsia" w:ascii="仿宋_GB2312" w:hAnsi="黑体" w:eastAsia="仿宋_GB2312"/>
          <w:bCs/>
          <w:color w:val="auto"/>
          <w:sz w:val="32"/>
          <w:szCs w:val="32"/>
        </w:rPr>
        <w:t>宣传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引导工作，</w:t>
      </w:r>
      <w:r>
        <w:rPr>
          <w:rFonts w:hint="eastAsia" w:ascii="仿宋_GB2312" w:hAnsi="黑体" w:eastAsia="仿宋_GB2312" w:cs="Times New Roman"/>
          <w:bCs/>
          <w:color w:val="auto"/>
          <w:kern w:val="2"/>
          <w:sz w:val="32"/>
          <w:szCs w:val="32"/>
          <w:lang w:val="en-US" w:eastAsia="zh-CN" w:bidi="ar"/>
        </w:rPr>
        <w:t>及时总结、提炼示范创建工作中经验和成效，</w:t>
      </w:r>
      <w:r>
        <w:rPr>
          <w:rFonts w:hint="eastAsia" w:ascii="仿宋_GB2312" w:eastAsia="仿宋_GB2312" w:cs="Segoe UI"/>
          <w:color w:val="auto"/>
          <w:sz w:val="32"/>
          <w:szCs w:val="32"/>
        </w:rPr>
        <w:t>将</w:t>
      </w:r>
      <w:r>
        <w:rPr>
          <w:rFonts w:hint="eastAsia" w:ascii="仿宋_GB2312" w:eastAsia="仿宋_GB2312"/>
          <w:color w:val="auto"/>
          <w:sz w:val="32"/>
          <w:szCs w:val="32"/>
        </w:rPr>
        <w:t>行之有效的做法上升为制度规范。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方正书宋_GBK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altName w:val="Arial"/>
    <w:panose1 w:val="020B0502040204020203"/>
    <w:charset w:val="00"/>
    <w:family w:val="swiss"/>
    <w:pitch w:val="default"/>
    <w:sig w:usb0="00000000" w:usb1="00000000" w:usb2="00000009" w:usb3="00000000" w:csb0="000001D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AB4C20"/>
    <w:multiLevelType w:val="singleLevel"/>
    <w:tmpl w:val="C7AB4C2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FB2821B"/>
    <w:multiLevelType w:val="singleLevel"/>
    <w:tmpl w:val="FFB2821B"/>
    <w:lvl w:ilvl="0" w:tentative="0">
      <w:start w:val="1"/>
      <w:numFmt w:val="chineseCounting"/>
      <w:suff w:val="nothing"/>
      <w:lvlText w:val="（%1）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00172A27"/>
    <w:rsid w:val="0016284F"/>
    <w:rsid w:val="004D1C21"/>
    <w:rsid w:val="007E2771"/>
    <w:rsid w:val="00BD0BD4"/>
    <w:rsid w:val="00BE42A0"/>
    <w:rsid w:val="00D03FB5"/>
    <w:rsid w:val="02614D62"/>
    <w:rsid w:val="059C3F40"/>
    <w:rsid w:val="0A3420E1"/>
    <w:rsid w:val="17F291AA"/>
    <w:rsid w:val="1DBF5E16"/>
    <w:rsid w:val="1E585035"/>
    <w:rsid w:val="1FFFA307"/>
    <w:rsid w:val="211C6C7C"/>
    <w:rsid w:val="2BFF997B"/>
    <w:rsid w:val="2DF7B7E2"/>
    <w:rsid w:val="2F3F8372"/>
    <w:rsid w:val="2F79388F"/>
    <w:rsid w:val="2FDA4006"/>
    <w:rsid w:val="33BB1B21"/>
    <w:rsid w:val="33F7AC11"/>
    <w:rsid w:val="35FB482C"/>
    <w:rsid w:val="36D936D7"/>
    <w:rsid w:val="37ADA0C2"/>
    <w:rsid w:val="3B7D5B40"/>
    <w:rsid w:val="3BBD0F1E"/>
    <w:rsid w:val="3C216381"/>
    <w:rsid w:val="3D779B29"/>
    <w:rsid w:val="3DFFD340"/>
    <w:rsid w:val="3EBBBF30"/>
    <w:rsid w:val="3ECB08CD"/>
    <w:rsid w:val="3FCFCB91"/>
    <w:rsid w:val="3FF5E0D1"/>
    <w:rsid w:val="3FFB7C05"/>
    <w:rsid w:val="3FFD243A"/>
    <w:rsid w:val="44BB2F88"/>
    <w:rsid w:val="4C222006"/>
    <w:rsid w:val="4D7966AC"/>
    <w:rsid w:val="4EE656C0"/>
    <w:rsid w:val="4FFF6BDC"/>
    <w:rsid w:val="526372B2"/>
    <w:rsid w:val="53E76196"/>
    <w:rsid w:val="557722C1"/>
    <w:rsid w:val="56DB8FD7"/>
    <w:rsid w:val="57032983"/>
    <w:rsid w:val="5DF62012"/>
    <w:rsid w:val="5E7E9385"/>
    <w:rsid w:val="5FA3B846"/>
    <w:rsid w:val="60F216F7"/>
    <w:rsid w:val="64030D42"/>
    <w:rsid w:val="671B508F"/>
    <w:rsid w:val="67FD8AAF"/>
    <w:rsid w:val="696D7EB2"/>
    <w:rsid w:val="6B97D898"/>
    <w:rsid w:val="6BFF2A46"/>
    <w:rsid w:val="6DBBD922"/>
    <w:rsid w:val="6DDE4A6F"/>
    <w:rsid w:val="6EF7A2C0"/>
    <w:rsid w:val="6F676953"/>
    <w:rsid w:val="6FBF622B"/>
    <w:rsid w:val="6FF9CA28"/>
    <w:rsid w:val="70FD45A2"/>
    <w:rsid w:val="72BB21CA"/>
    <w:rsid w:val="74ABE06B"/>
    <w:rsid w:val="74DF9888"/>
    <w:rsid w:val="75FD0929"/>
    <w:rsid w:val="767DF330"/>
    <w:rsid w:val="777F8DF7"/>
    <w:rsid w:val="77B1CBBC"/>
    <w:rsid w:val="77BDD732"/>
    <w:rsid w:val="77BE983B"/>
    <w:rsid w:val="77DF723B"/>
    <w:rsid w:val="77FBC905"/>
    <w:rsid w:val="77FF281B"/>
    <w:rsid w:val="79F78691"/>
    <w:rsid w:val="7B7F4322"/>
    <w:rsid w:val="7BBD7583"/>
    <w:rsid w:val="7BDF80D0"/>
    <w:rsid w:val="7BE74423"/>
    <w:rsid w:val="7BEEEF92"/>
    <w:rsid w:val="7BFF0B80"/>
    <w:rsid w:val="7D8B8666"/>
    <w:rsid w:val="7DDD22E4"/>
    <w:rsid w:val="7E7248F2"/>
    <w:rsid w:val="7EDC3BAE"/>
    <w:rsid w:val="7EFEF7E1"/>
    <w:rsid w:val="7F1F5937"/>
    <w:rsid w:val="7F3A2C45"/>
    <w:rsid w:val="7F973525"/>
    <w:rsid w:val="7FBF6ADB"/>
    <w:rsid w:val="7FFBE4AC"/>
    <w:rsid w:val="7FFF977B"/>
    <w:rsid w:val="8F5EBC88"/>
    <w:rsid w:val="8FD7E121"/>
    <w:rsid w:val="9EF7BAFE"/>
    <w:rsid w:val="9FBC050C"/>
    <w:rsid w:val="AE6F6660"/>
    <w:rsid w:val="B35E5C2C"/>
    <w:rsid w:val="B76FB987"/>
    <w:rsid w:val="BBDED561"/>
    <w:rsid w:val="BCFE7A39"/>
    <w:rsid w:val="BDA8C726"/>
    <w:rsid w:val="BF3FE49D"/>
    <w:rsid w:val="BF7F7FE3"/>
    <w:rsid w:val="BFF28519"/>
    <w:rsid w:val="BFFF12D2"/>
    <w:rsid w:val="BFFF84EA"/>
    <w:rsid w:val="C9BB3B7D"/>
    <w:rsid w:val="D1F7AE6D"/>
    <w:rsid w:val="D6F2EF52"/>
    <w:rsid w:val="D6FFE0B3"/>
    <w:rsid w:val="D7FDA0C5"/>
    <w:rsid w:val="D96F6E93"/>
    <w:rsid w:val="D9EF7CDE"/>
    <w:rsid w:val="D9FF2199"/>
    <w:rsid w:val="DA3E5AD6"/>
    <w:rsid w:val="DAF70295"/>
    <w:rsid w:val="DB6DE8BF"/>
    <w:rsid w:val="DBFF0F95"/>
    <w:rsid w:val="DBFFEA8A"/>
    <w:rsid w:val="DDFDDDF2"/>
    <w:rsid w:val="DDFF2C09"/>
    <w:rsid w:val="DE76BCF0"/>
    <w:rsid w:val="DEBF03E6"/>
    <w:rsid w:val="DEFDCD7E"/>
    <w:rsid w:val="DF9E5F1D"/>
    <w:rsid w:val="DFFB7A2A"/>
    <w:rsid w:val="DFFFF1BE"/>
    <w:rsid w:val="E1CF18E0"/>
    <w:rsid w:val="E7FBE168"/>
    <w:rsid w:val="EBD76B89"/>
    <w:rsid w:val="EBFF519D"/>
    <w:rsid w:val="EEFEF8A9"/>
    <w:rsid w:val="EFDD5388"/>
    <w:rsid w:val="EFEF9F0F"/>
    <w:rsid w:val="F372EBE9"/>
    <w:rsid w:val="F3E7FD69"/>
    <w:rsid w:val="F3FF58D4"/>
    <w:rsid w:val="F47F960F"/>
    <w:rsid w:val="F5FF3829"/>
    <w:rsid w:val="F674FABC"/>
    <w:rsid w:val="F6FAD05C"/>
    <w:rsid w:val="F7A55254"/>
    <w:rsid w:val="F7FF6C7C"/>
    <w:rsid w:val="F8EE3EBC"/>
    <w:rsid w:val="F8EFC897"/>
    <w:rsid w:val="F9AE5790"/>
    <w:rsid w:val="F9FF5EA0"/>
    <w:rsid w:val="FABF12AB"/>
    <w:rsid w:val="FAE958D4"/>
    <w:rsid w:val="FB3FA117"/>
    <w:rsid w:val="FB7E1B48"/>
    <w:rsid w:val="FB9F4D61"/>
    <w:rsid w:val="FBBABEBE"/>
    <w:rsid w:val="FBC7CD5E"/>
    <w:rsid w:val="FBFB9601"/>
    <w:rsid w:val="FBFC4167"/>
    <w:rsid w:val="FD3B35B0"/>
    <w:rsid w:val="FDFF24EF"/>
    <w:rsid w:val="FE7A0982"/>
    <w:rsid w:val="FEBF405A"/>
    <w:rsid w:val="FF1BD53A"/>
    <w:rsid w:val="FF6BF77A"/>
    <w:rsid w:val="FF8E1B01"/>
    <w:rsid w:val="FFA380E3"/>
    <w:rsid w:val="FFBF2DA3"/>
    <w:rsid w:val="FFCE04B7"/>
    <w:rsid w:val="FFCFA648"/>
    <w:rsid w:val="FFDD8E83"/>
    <w:rsid w:val="FFEF18AA"/>
    <w:rsid w:val="FFEF40B9"/>
    <w:rsid w:val="FFF65B74"/>
    <w:rsid w:val="FFF73DCC"/>
    <w:rsid w:val="FFFB7486"/>
    <w:rsid w:val="FFFEC625"/>
    <w:rsid w:val="FFFF1E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10">
    <w:name w:val="页眉 Char"/>
    <w:basedOn w:val="6"/>
    <w:link w:val="4"/>
    <w:qFormat/>
    <w:uiPriority w:val="0"/>
    <w:rPr>
      <w:kern w:val="2"/>
      <w:sz w:val="18"/>
      <w:szCs w:val="18"/>
    </w:rPr>
  </w:style>
  <w:style w:type="paragraph" w:styleId="11">
    <w:name w:val="No Spacing"/>
    <w:qFormat/>
    <w:uiPriority w:val="1"/>
    <w:pPr>
      <w:widowControl w:val="0"/>
      <w:spacing w:line="360" w:lineRule="auto"/>
      <w:ind w:firstLine="635"/>
      <w:jc w:val="both"/>
    </w:pPr>
    <w:rPr>
      <w:rFonts w:ascii="等线" w:hAnsi="等线" w:eastAsia="等线" w:cs="Arial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1565</Words>
  <Characters>8925</Characters>
  <Lines>74</Lines>
  <Paragraphs>20</Paragraphs>
  <TotalTime>2</TotalTime>
  <ScaleCrop>false</ScaleCrop>
  <LinksUpToDate>false</LinksUpToDate>
  <CharactersWithSpaces>10470</CharactersWithSpaces>
  <Application>WPS Office_10.1.0.8067_F1E327BC-269C-435d-A152-05C5408002CA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2022-09-15T16:26:00Z</dcterms:created>
  <dc:creator>donghai</dc:creator>
  <cp:lastModifiedBy>章蕾</cp:lastModifiedBy>
  <cp:lastPrinted>2022-09-28T11:15:00Z</cp:lastPrinted>
  <dcterms:modified xsi:type="dcterms:W3CDTF">2022-11-24T09:49:07Z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2052-10.1.0.8067</vt:lpwstr>
  </property>
  <property fmtid="{D5CDD505-2E9C-101B-9397-08002B2CF9AE}" pid="3" name="ICV">
    <vt:lpwstr>83E9D64ABF42737648730C6394E4F6E0</vt:lpwstr>
  </property>
</Properties>
</file>